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pacing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pacing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  <w:t>佛山市绿色建材试点项目应用绿色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  <w:t>建材技术指引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Times New Roman" w:hAnsi="Times New Roman" w:eastAsia="仿宋_GB2312" w:cs="Times New Roman"/>
          <w:b/>
          <w:spacing w:val="2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>一、基本要求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1.1 为加快推广绿色建材应用，促进绿色建筑品质提升，推动佛山市绿色建材试点项目规范化实施，制定本指引。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1.2 本指引适用于佛山市绿色建材试点项目的绿色建材应用。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1.3 本指引所指“绿色建材”是《佛山市绿色建材基本要求（试行）》中提到的建筑材料（含设备设施）。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>二、试点项目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2.1 试点项目是指国有资金参与投资建设的医院、学校、办公楼、综合体、展览馆、会展中心、体育馆、保障性住房等八大类新建工程项目，以及符合试点条件的已开工项目。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2.2 试点项目应满足我市绿色建筑相关要求。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>三、绿色建材应用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3.1 根据工程实践与建材特性，结合佛山当地的建材产业现状，从安全环保、节能节材、工程用量、产业发展等维度，将绿色建材分为“必选绿色建材”与“可选绿色建材”。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3.2 被列为“必选绿色建材”的，试点项目如有应用相关类别建材则必须使用绿色建材（应用比例原则上为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%）。“必选绿色建材”共13类，主要材料如下表所示：</w:t>
      </w:r>
    </w:p>
    <w:p>
      <w:pPr>
        <w:pStyle w:val="6"/>
        <w:tabs>
          <w:tab w:val="left" w:pos="828"/>
        </w:tabs>
        <w:spacing w:before="0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表3.2  试点项目必选绿色建材表</w:t>
      </w:r>
    </w:p>
    <w:tbl>
      <w:tblPr>
        <w:tblStyle w:val="12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39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  <w:t>材料种类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混凝土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预拌混凝土、预制混凝土构件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预拌砂浆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湿拌砂浆、干混砌筑砂浆、干混抹灰砂浆、干混地面砂浆、干混普通防水砂浆、瓷砖胶粘剂、瓷砖填缝剂；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墙体材料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墙板材料、非烧结类砌体材料；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吊顶（隔断）材料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纸面石膏板、矿棉吸声板、集成吊顶；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陶瓷砖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内（外）墙瓷砖、地面瓷砖；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卫生洁具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小便器、蹲便器、坐便器；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建筑门窗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门（含户门）、窗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(平开窗)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、型材及配件；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管材管件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塑料管材管件、金属管材管件；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涂料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水性墙面涂料、无机干粉涂覆材料、反射隔热涂料、空气净化材料；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密封胶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硅酮密封胶、中空玻璃用丁基热熔密封胶、建筑用聚氨酯密封胶、建筑用聚硫密封胶、建筑用硅烷封端聚醚密封胶；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防水材料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防水涂料、防水卷材；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地坪材料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水性树脂地坪材料、水性聚氨酯地坪材料、无溶剂树脂地坪材料；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照明产品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室内（外）照明用LED灯具、城市照明用LED灯、采光系统（采光罩、导光管）。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3.3 被列为“可选绿色建材”的，试点项目应至少选用5类绿色建材（应用比例原则上为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%）。“可选绿色建材”包括了除3.2规定的“必选绿色建材”之外的且被纳入《基本要求》的其他绿色建材，主要材料如下表所示：</w:t>
      </w:r>
    </w:p>
    <w:p>
      <w:pPr>
        <w:pStyle w:val="6"/>
        <w:tabs>
          <w:tab w:val="left" w:pos="828"/>
        </w:tabs>
        <w:spacing w:before="0"/>
        <w:ind w:lef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表3.3    试点项目可选绿色建材表</w:t>
      </w:r>
    </w:p>
    <w:tbl>
      <w:tblPr>
        <w:tblStyle w:val="12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39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  <w:t>材料种类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木结构用材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原木方木、原木规格材、木基结构板、结构复合木材、（正交）胶合木；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玻璃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建筑节能玻璃，包括钢化玻璃、夹层玻璃、中空玻璃；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保温隔热材料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岩棉、挤塑聚苯乙烯泡沫塑料制品XPS、模塑聚苯乙烯泡沫塑料制品EPS、玻璃棉；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遮阳产品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建筑遮阳产品、建筑用遮阳金属百叶窗、建筑用遮阳天蓬帘、建筑用曲臂遮阳蓬、建筑用遮阳软卷帘、内置遮阳中空玻璃制品、建筑用铝合金遮阳板、建筑遮阳硬卷帘；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建筑门窗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推拉窗及其配件；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建筑幕墙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幕墙玻璃与型材；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集成墙面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室内装饰用金属集成墙面、竹木纤维集成墙面、石塑集成墙面；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木地板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木地板、人造板；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金属复合装饰材料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幕墙用铝塑复合板、普通装饰用铝塑复合板、建筑装饰用铝单板、金属及金属复合材料吊顶板、铝波纹芯复合铝板、建筑装饰用单涂层氟碳铝板（带）、建筑装饰用烤瓷铝板、建筑外墙用铝蜂窝复合板、建筑用钛锌合金饰面复合板、建筑装饰用彩钢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无机装饰板材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无石棉纤维水泥平板 、无石棉硅酸钙板、吸声用穿孔纤维水泥板 、纤维增强低碱度水泥建筑平板 、维纶纤维增强水泥平板 、外墙用非承重纤维增强水泥板、玻镁平板、建筑用菱镁装饰板；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木塑制品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木塑装饰板、木塑地板、建筑模板用木塑复合板；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运动场地材料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合成材料面层运动场地；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五金配件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水嘴、建筑用阀门、闸阀、蝶阀、球阀、截止阀、止回阀、螺纹连接阀门；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混凝土隔断、金属隔断、木隔断；壁纸壁布；石材；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家具；不锈钢围护栏；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水处理设备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中水处理设备、净水设备、软化设备、油脂分离器、游泳池循环水处理设备、雨水处理设备；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pStyle w:val="4"/>
              <w:adjustRightInd w:val="0"/>
              <w:spacing w:before="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冷热源设备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冷水机组、冷热风型空气源热泵机组、冷热水型空气源热泵机组、地源热泵机组、蓄热型电加热装置、相变蓄冷蓄热装置、蓄热式电供暖散热器；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通风系统设备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空调机组、新风净化系统；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太阳能利用设备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spacing w:before="120" w:beforeLine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太阳能光伏发电系统、光伏组件；太阳能热水系统；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建筑电气设备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高低压配电柜（板）、密集绝缘母线槽、电线电缆；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ind w:left="511" w:hanging="477" w:hangingChars="2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spacing w:before="120" w:beforeLine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其他设备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1. 设备隔振降噪装置：阻尼隔振器、阻尼弹簧隔振器、通风消声器；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2. 控制与计量设备：冷热量表、数字控制器、数据采集器、建筑能源监控系统、电子式电能表、光电直读水表；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3. 机械式停车设备。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9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ind w:left="511" w:hanging="477" w:hangingChars="213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注：因篇幅限制，“可选绿色建材”还应包括其他被列入《基本要求》但未在本表中载明其他绿色建材。</w:t>
            </w:r>
          </w:p>
        </w:tc>
      </w:tr>
    </w:tbl>
    <w:p>
      <w:pPr>
        <w:pStyle w:val="6"/>
        <w:tabs>
          <w:tab w:val="left" w:pos="828"/>
        </w:tabs>
        <w:spacing w:before="0" w:line="360" w:lineRule="auto"/>
        <w:ind w:left="0" w:firstLine="528" w:firstLineChars="200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10" w:h="16840"/>
      <w:pgMar w:top="2154" w:right="1474" w:bottom="1474" w:left="1474" w:header="624" w:footer="624" w:gutter="0"/>
      <w:paperSrc/>
      <w:pgNumType w:fmt="decimal"/>
      <w:cols w:space="0" w:num="1"/>
      <w:rtlGutter w:val="0"/>
      <w:docGrid w:type="linesAndChars" w:linePitch="600" w:charSpace="-3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8195031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 w:eastAsia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81950313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 w:eastAsia="zh-C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720"/>
  <w:drawingGridHorizontalSpacing w:val="102"/>
  <w:drawingGridVerticalSpacing w:val="300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3"/>
    <w:rsid w:val="00034CEC"/>
    <w:rsid w:val="0006550B"/>
    <w:rsid w:val="000B4775"/>
    <w:rsid w:val="000F39B6"/>
    <w:rsid w:val="0010220E"/>
    <w:rsid w:val="001026D8"/>
    <w:rsid w:val="00117BEA"/>
    <w:rsid w:val="00142032"/>
    <w:rsid w:val="0014688E"/>
    <w:rsid w:val="00164299"/>
    <w:rsid w:val="0018133A"/>
    <w:rsid w:val="001C1DCA"/>
    <w:rsid w:val="001D2B61"/>
    <w:rsid w:val="001E46CA"/>
    <w:rsid w:val="001F0499"/>
    <w:rsid w:val="002008EA"/>
    <w:rsid w:val="00201061"/>
    <w:rsid w:val="00207D9B"/>
    <w:rsid w:val="00236A6D"/>
    <w:rsid w:val="00254AA8"/>
    <w:rsid w:val="00263EFB"/>
    <w:rsid w:val="00271A70"/>
    <w:rsid w:val="0028061C"/>
    <w:rsid w:val="0029045C"/>
    <w:rsid w:val="002941C4"/>
    <w:rsid w:val="00294277"/>
    <w:rsid w:val="00311D6C"/>
    <w:rsid w:val="00335B5A"/>
    <w:rsid w:val="0034081B"/>
    <w:rsid w:val="0038454A"/>
    <w:rsid w:val="00397579"/>
    <w:rsid w:val="003C41FE"/>
    <w:rsid w:val="003F4EB0"/>
    <w:rsid w:val="0043106F"/>
    <w:rsid w:val="00441C24"/>
    <w:rsid w:val="004B7194"/>
    <w:rsid w:val="0052791C"/>
    <w:rsid w:val="005402A0"/>
    <w:rsid w:val="00545C94"/>
    <w:rsid w:val="00582C2D"/>
    <w:rsid w:val="00586463"/>
    <w:rsid w:val="00590C52"/>
    <w:rsid w:val="005A1F6D"/>
    <w:rsid w:val="005C68FF"/>
    <w:rsid w:val="005C7745"/>
    <w:rsid w:val="005F61F7"/>
    <w:rsid w:val="00613FD7"/>
    <w:rsid w:val="00633D6E"/>
    <w:rsid w:val="006535D9"/>
    <w:rsid w:val="006B26F5"/>
    <w:rsid w:val="006C7EBB"/>
    <w:rsid w:val="00717E67"/>
    <w:rsid w:val="0073613E"/>
    <w:rsid w:val="0075684C"/>
    <w:rsid w:val="007754DC"/>
    <w:rsid w:val="00786590"/>
    <w:rsid w:val="007A5FD8"/>
    <w:rsid w:val="007B6C41"/>
    <w:rsid w:val="007D702C"/>
    <w:rsid w:val="007E3579"/>
    <w:rsid w:val="007F6E67"/>
    <w:rsid w:val="00803179"/>
    <w:rsid w:val="00870BD2"/>
    <w:rsid w:val="00875AF4"/>
    <w:rsid w:val="008F6BA2"/>
    <w:rsid w:val="00911CB8"/>
    <w:rsid w:val="00913EB3"/>
    <w:rsid w:val="00915A30"/>
    <w:rsid w:val="00922576"/>
    <w:rsid w:val="00950019"/>
    <w:rsid w:val="009575AF"/>
    <w:rsid w:val="00967DE1"/>
    <w:rsid w:val="00972A6B"/>
    <w:rsid w:val="009A0A59"/>
    <w:rsid w:val="00A10D27"/>
    <w:rsid w:val="00A4307B"/>
    <w:rsid w:val="00A63A0D"/>
    <w:rsid w:val="00A7059D"/>
    <w:rsid w:val="00A83664"/>
    <w:rsid w:val="00A86D96"/>
    <w:rsid w:val="00AB0478"/>
    <w:rsid w:val="00B03CCD"/>
    <w:rsid w:val="00B06E86"/>
    <w:rsid w:val="00B2777A"/>
    <w:rsid w:val="00B467B8"/>
    <w:rsid w:val="00B47CD6"/>
    <w:rsid w:val="00B50BCF"/>
    <w:rsid w:val="00B52C76"/>
    <w:rsid w:val="00B540B0"/>
    <w:rsid w:val="00B67DC9"/>
    <w:rsid w:val="00B71AF4"/>
    <w:rsid w:val="00B90D13"/>
    <w:rsid w:val="00BA3146"/>
    <w:rsid w:val="00BC141B"/>
    <w:rsid w:val="00BD363A"/>
    <w:rsid w:val="00BE3095"/>
    <w:rsid w:val="00BE5D93"/>
    <w:rsid w:val="00C04550"/>
    <w:rsid w:val="00C25DE7"/>
    <w:rsid w:val="00C25F39"/>
    <w:rsid w:val="00C27543"/>
    <w:rsid w:val="00C86E2C"/>
    <w:rsid w:val="00C96CA6"/>
    <w:rsid w:val="00CA6AC9"/>
    <w:rsid w:val="00CD5FCB"/>
    <w:rsid w:val="00CE508C"/>
    <w:rsid w:val="00D14F33"/>
    <w:rsid w:val="00D26DEF"/>
    <w:rsid w:val="00D30B04"/>
    <w:rsid w:val="00D30CC4"/>
    <w:rsid w:val="00D37E3C"/>
    <w:rsid w:val="00D437BC"/>
    <w:rsid w:val="00D52B5F"/>
    <w:rsid w:val="00D74E62"/>
    <w:rsid w:val="00D8709F"/>
    <w:rsid w:val="00D87C97"/>
    <w:rsid w:val="00DA4A95"/>
    <w:rsid w:val="00DB7B1A"/>
    <w:rsid w:val="00DF740F"/>
    <w:rsid w:val="00E9027A"/>
    <w:rsid w:val="00E93C3E"/>
    <w:rsid w:val="00EB2A51"/>
    <w:rsid w:val="00EC3CBD"/>
    <w:rsid w:val="00ED20F9"/>
    <w:rsid w:val="00ED6343"/>
    <w:rsid w:val="00EE0E5C"/>
    <w:rsid w:val="00EF7B7B"/>
    <w:rsid w:val="00F36C79"/>
    <w:rsid w:val="00F778C5"/>
    <w:rsid w:val="00F80BB4"/>
    <w:rsid w:val="00F83AC5"/>
    <w:rsid w:val="00F9658D"/>
    <w:rsid w:val="00FD0EAB"/>
    <w:rsid w:val="00FE25DA"/>
    <w:rsid w:val="102D36B3"/>
    <w:rsid w:val="1F0648EE"/>
    <w:rsid w:val="2C13454D"/>
    <w:rsid w:val="488F5B77"/>
    <w:rsid w:val="51EC4F8F"/>
    <w:rsid w:val="619C126F"/>
    <w:rsid w:val="63782D85"/>
    <w:rsid w:val="652D66F8"/>
    <w:rsid w:val="7D56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ind w:left="1143"/>
      <w:outlineLvl w:val="0"/>
    </w:pPr>
    <w:rPr>
      <w:rFonts w:ascii="华光小标宋_CNKI" w:hAnsi="华光小标宋_CNKI" w:eastAsia="华光小标宋_CNKI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ind w:left="788"/>
      <w:outlineLvl w:val="1"/>
    </w:pPr>
    <w:rPr>
      <w:rFonts w:ascii="黑体" w:hAnsi="黑体" w:eastAsia="黑体"/>
      <w:sz w:val="28"/>
      <w:szCs w:val="28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qFormat/>
    <w:uiPriority w:val="99"/>
  </w:style>
  <w:style w:type="paragraph" w:styleId="6">
    <w:name w:val="Body Text"/>
    <w:basedOn w:val="1"/>
    <w:qFormat/>
    <w:uiPriority w:val="1"/>
    <w:pPr>
      <w:spacing w:before="26"/>
      <w:ind w:left="228"/>
    </w:pPr>
    <w:rPr>
      <w:rFonts w:ascii="宋体" w:hAnsi="宋体" w:eastAsia="宋体"/>
      <w:sz w:val="24"/>
      <w:szCs w:val="24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table" w:customStyle="1" w:styleId="1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0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2">
    <w:name w:val="日期 Char"/>
    <w:basedOn w:val="14"/>
    <w:link w:val="7"/>
    <w:semiHidden/>
    <w:qFormat/>
    <w:uiPriority w:val="99"/>
  </w:style>
  <w:style w:type="character" w:customStyle="1" w:styleId="23">
    <w:name w:val="标题 1 Char"/>
    <w:basedOn w:val="14"/>
    <w:link w:val="2"/>
    <w:qFormat/>
    <w:uiPriority w:val="9"/>
    <w:rPr>
      <w:rFonts w:ascii="华光小标宋_CNKI" w:hAnsi="华光小标宋_CNKI" w:eastAsia="华光小标宋_CNKI"/>
      <w:sz w:val="44"/>
      <w:szCs w:val="44"/>
    </w:rPr>
  </w:style>
  <w:style w:type="character" w:customStyle="1" w:styleId="24">
    <w:name w:val="标题 2 Char"/>
    <w:basedOn w:val="14"/>
    <w:link w:val="3"/>
    <w:qFormat/>
    <w:uiPriority w:val="0"/>
    <w:rPr>
      <w:rFonts w:ascii="黑体" w:hAnsi="黑体" w:eastAsia="黑体"/>
      <w:sz w:val="28"/>
      <w:szCs w:val="28"/>
    </w:rPr>
  </w:style>
  <w:style w:type="character" w:customStyle="1" w:styleId="25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6">
    <w:name w:val="批注文字 Char"/>
    <w:basedOn w:val="14"/>
    <w:link w:val="5"/>
    <w:semiHidden/>
    <w:qFormat/>
    <w:uiPriority w:val="99"/>
  </w:style>
  <w:style w:type="character" w:customStyle="1" w:styleId="27">
    <w:name w:val="批注主题 Char"/>
    <w:basedOn w:val="26"/>
    <w:link w:val="11"/>
    <w:semiHidden/>
    <w:qFormat/>
    <w:uiPriority w:val="99"/>
    <w:rPr>
      <w:b/>
      <w:bCs/>
    </w:rPr>
  </w:style>
  <w:style w:type="paragraph" w:customStyle="1" w:styleId="28">
    <w:name w:val="Revision"/>
    <w:hidden/>
    <w:semiHidden/>
    <w:qFormat/>
    <w:uiPriority w:val="99"/>
    <w:pPr>
      <w:widowControl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</Pages>
  <Words>315</Words>
  <Characters>1797</Characters>
  <Lines>14</Lines>
  <Paragraphs>4</Paragraphs>
  <TotalTime>0</TotalTime>
  <ScaleCrop>false</ScaleCrop>
  <LinksUpToDate>false</LinksUpToDate>
  <CharactersWithSpaces>2108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2021-05-25T07:12:00Z</dcterms:created>
  <dc:creator>LC</dc:creator>
  <cp:lastModifiedBy>市住建局</cp:lastModifiedBy>
  <cp:lastPrinted>2021-06-02T02:02:00Z</cp:lastPrinted>
  <dcterms:modified xsi:type="dcterms:W3CDTF">2021-06-09T06:35:38Z</dcterms:modified>
  <dc:title>附件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2021-05-19T00:00:00Z</vt:filetime>
  </property>
  <property fmtid="{D5CDD505-2E9C-101B-9397-08002B2CF9AE}" pid="4" name="KSOProductBuildVer">
    <vt:lpwstr>2052-11.8.2.8621</vt:lpwstr>
  </property>
</Properties>
</file>