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before="0" w:beforeAutospacing="0" w:after="0" w:afterAutospacing="0" w:line="560" w:lineRule="exact"/>
        <w:jc w:val="center"/>
        <w:rPr>
          <w:rFonts w:ascii="方正小标宋简体" w:hAnsi="方正小标宋简体" w:eastAsia="方正小标宋简体" w:cs="方正小标宋简体"/>
          <w:b w:val="0"/>
          <w:bCs w:val="0"/>
          <w:kern w:val="2"/>
          <w:sz w:val="44"/>
          <w:szCs w:val="44"/>
        </w:rPr>
      </w:pPr>
      <w:r>
        <w:rPr>
          <w:rFonts w:hint="eastAsia" w:ascii="方正小标宋简体" w:hAnsi="方正小标宋简体" w:eastAsia="方正小标宋简体" w:cs="方正小标宋简体"/>
          <w:b w:val="0"/>
          <w:bCs w:val="0"/>
          <w:kern w:val="2"/>
          <w:sz w:val="44"/>
          <w:szCs w:val="44"/>
        </w:rPr>
        <w:t>关于</w:t>
      </w:r>
      <w:r>
        <w:rPr>
          <w:rFonts w:hint="eastAsia" w:ascii="方正小标宋简体" w:hAnsi="方正小标宋简体" w:eastAsia="方正小标宋简体" w:cs="方正小标宋简体"/>
          <w:b w:val="0"/>
          <w:bCs w:val="0"/>
          <w:sz w:val="44"/>
          <w:szCs w:val="44"/>
        </w:rPr>
        <w:t>《</w:t>
      </w:r>
      <w:r>
        <w:rPr>
          <w:rFonts w:hint="eastAsia" w:ascii="方正小标宋简体" w:hAnsi="方正小标宋简体" w:eastAsia="方正小标宋简体" w:cs="方正小标宋简体"/>
          <w:b w:val="0"/>
          <w:bCs w:val="0"/>
          <w:kern w:val="2"/>
          <w:sz w:val="44"/>
          <w:szCs w:val="44"/>
        </w:rPr>
        <w:t>佛山市海绵城市建设工程竣工验收</w:t>
      </w:r>
    </w:p>
    <w:p>
      <w:pPr>
        <w:pStyle w:val="11"/>
        <w:spacing w:before="0" w:beforeAutospacing="0" w:after="0" w:afterAutospacing="0" w:line="560" w:lineRule="exact"/>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kern w:val="2"/>
          <w:sz w:val="44"/>
          <w:szCs w:val="44"/>
        </w:rPr>
        <w:t>实施细则</w:t>
      </w:r>
      <w:r>
        <w:rPr>
          <w:rFonts w:hint="eastAsia" w:ascii="方正小标宋简体" w:hAnsi="方正小标宋简体" w:eastAsia="方正小标宋简体" w:cs="方正小标宋简体"/>
          <w:b w:val="0"/>
          <w:bCs w:val="0"/>
          <w:sz w:val="44"/>
          <w:szCs w:val="44"/>
        </w:rPr>
        <w:t>》</w:t>
      </w: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lang w:val="en-US" w:eastAsia="zh-CN"/>
        </w:rPr>
        <w:t>第二次征求意见稿</w:t>
      </w:r>
      <w:r>
        <w:rPr>
          <w:rFonts w:hint="eastAsia" w:ascii="方正小标宋简体" w:hAnsi="方正小标宋简体" w:eastAsia="方正小标宋简体" w:cs="方正小标宋简体"/>
          <w:b w:val="0"/>
          <w:bCs w:val="0"/>
          <w:sz w:val="44"/>
          <w:szCs w:val="44"/>
          <w:lang w:eastAsia="zh-CN"/>
        </w:rPr>
        <w:t>）</w:t>
      </w:r>
    </w:p>
    <w:p>
      <w:pPr>
        <w:pStyle w:val="11"/>
        <w:spacing w:before="0" w:beforeAutospacing="0" w:after="0" w:afterAutospacing="0" w:line="560" w:lineRule="exact"/>
        <w:jc w:val="center"/>
        <w:rPr>
          <w:rFonts w:ascii="方正小标宋简体" w:hAnsi="方正小标宋简体" w:eastAsia="方正小标宋简体" w:cs="方正小标宋简体"/>
          <w:b w:val="0"/>
          <w:bCs w:val="0"/>
          <w:kern w:val="2"/>
          <w:sz w:val="44"/>
          <w:szCs w:val="44"/>
        </w:rPr>
      </w:pPr>
      <w:r>
        <w:rPr>
          <w:rFonts w:hint="eastAsia" w:ascii="方正小标宋简体" w:hAnsi="方正小标宋简体" w:eastAsia="方正小标宋简体" w:cs="方正小标宋简体"/>
          <w:b w:val="0"/>
          <w:bCs w:val="0"/>
          <w:kern w:val="2"/>
          <w:sz w:val="44"/>
          <w:szCs w:val="44"/>
        </w:rPr>
        <w:t>的起草说明</w:t>
      </w:r>
    </w:p>
    <w:p>
      <w:pPr>
        <w:autoSpaceDE w:val="0"/>
        <w:spacing w:line="560" w:lineRule="exact"/>
        <w:ind w:firstLine="640"/>
        <w:rPr>
          <w:rFonts w:ascii="仿宋_GB2312" w:eastAsia="仿宋_GB2312"/>
          <w:sz w:val="32"/>
          <w:szCs w:val="32"/>
        </w:rPr>
      </w:pPr>
      <w:r>
        <w:rPr>
          <w:rFonts w:hint="eastAsia" w:ascii="仿宋_GB2312" w:eastAsia="仿宋_GB2312"/>
          <w:sz w:val="32"/>
          <w:szCs w:val="32"/>
        </w:rPr>
        <w:t xml:space="preserve"> </w:t>
      </w:r>
    </w:p>
    <w:p>
      <w:pPr>
        <w:widowControl/>
        <w:autoSpaceDE w:val="0"/>
        <w:spacing w:line="560" w:lineRule="exact"/>
        <w:ind w:firstLine="640"/>
        <w:rPr>
          <w:rFonts w:ascii="仿宋_GB2312" w:eastAsia="仿宋_GB2312"/>
          <w:sz w:val="32"/>
          <w:szCs w:val="32"/>
        </w:rPr>
      </w:pPr>
      <w:r>
        <w:rPr>
          <w:rFonts w:hint="eastAsia" w:ascii="仿宋_GB2312" w:eastAsia="仿宋_GB2312"/>
          <w:sz w:val="32"/>
          <w:szCs w:val="32"/>
        </w:rPr>
        <w:t>我局草拟了规范性文件《佛山市海绵城市建设工程竣工验收实施细则》</w:t>
      </w:r>
      <w:r>
        <w:rPr>
          <w:rFonts w:hint="eastAsia" w:ascii="仿宋_GB2312" w:eastAsia="仿宋_GB2312"/>
          <w:sz w:val="32"/>
          <w:szCs w:val="32"/>
          <w:lang w:eastAsia="zh-CN"/>
        </w:rPr>
        <w:t>（</w:t>
      </w:r>
      <w:r>
        <w:rPr>
          <w:rFonts w:hint="eastAsia" w:ascii="仿宋_GB2312" w:eastAsia="仿宋_GB2312"/>
          <w:sz w:val="32"/>
          <w:szCs w:val="32"/>
          <w:lang w:val="en-US" w:eastAsia="zh-CN"/>
        </w:rPr>
        <w:t>第二次征求意见稿</w:t>
      </w:r>
      <w:r>
        <w:rPr>
          <w:rFonts w:hint="eastAsia" w:ascii="仿宋_GB2312" w:eastAsia="仿宋_GB2312"/>
          <w:sz w:val="32"/>
          <w:szCs w:val="32"/>
          <w:lang w:eastAsia="zh-CN"/>
        </w:rPr>
        <w:t>）</w:t>
      </w:r>
      <w:r>
        <w:rPr>
          <w:rFonts w:hint="eastAsia" w:ascii="仿宋_GB2312" w:eastAsia="仿宋_GB2312"/>
          <w:sz w:val="32"/>
          <w:szCs w:val="32"/>
        </w:rPr>
        <w:t>（以下简称《实施细则》），根据《广东省行政规范性文件管理规定》（粤府令第277号）和《广东省人民政府办公室关于进一步加强行政机关规范性文件监督管理工作的意见》（粤府办﹝2014﹞32号）有关要求，就文件制定有关事宜作说明如下：</w:t>
      </w:r>
    </w:p>
    <w:p>
      <w:pPr>
        <w:numPr>
          <w:ilvl w:val="0"/>
          <w:numId w:val="1"/>
        </w:numPr>
        <w:autoSpaceDE w:val="0"/>
        <w:spacing w:line="560" w:lineRule="exact"/>
        <w:ind w:firstLine="640"/>
        <w:rPr>
          <w:rFonts w:ascii="黑体" w:hAnsi="黑体" w:eastAsia="黑体"/>
          <w:sz w:val="32"/>
          <w:szCs w:val="32"/>
        </w:rPr>
      </w:pPr>
      <w:r>
        <w:rPr>
          <w:rFonts w:hint="eastAsia" w:ascii="黑体" w:hAnsi="黑体" w:eastAsia="黑体"/>
          <w:sz w:val="32"/>
          <w:szCs w:val="32"/>
        </w:rPr>
        <w:t>文件的制定背景说明</w:t>
      </w:r>
    </w:p>
    <w:p>
      <w:pPr>
        <w:autoSpaceDE w:val="0"/>
        <w:spacing w:line="56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（一）起草合法性</w:t>
      </w:r>
    </w:p>
    <w:p>
      <w:pPr>
        <w:widowControl/>
        <w:autoSpaceDE w:val="0"/>
        <w:spacing w:line="560" w:lineRule="exact"/>
        <w:ind w:firstLine="640"/>
        <w:rPr>
          <w:rFonts w:ascii="仿宋_GB2312" w:eastAsia="仿宋_GB2312"/>
          <w:sz w:val="32"/>
          <w:szCs w:val="32"/>
        </w:rPr>
      </w:pPr>
      <w:r>
        <w:rPr>
          <w:rFonts w:hint="eastAsia" w:ascii="仿宋_GB2312" w:eastAsia="仿宋_GB2312"/>
          <w:sz w:val="32"/>
          <w:szCs w:val="32"/>
        </w:rPr>
        <w:t>202</w:t>
      </w:r>
      <w:r>
        <w:rPr>
          <w:rFonts w:ascii="仿宋_GB2312" w:eastAsia="仿宋_GB2312"/>
          <w:sz w:val="32"/>
          <w:szCs w:val="32"/>
        </w:rPr>
        <w:t>1</w:t>
      </w:r>
      <w:r>
        <w:rPr>
          <w:rFonts w:hint="eastAsia" w:ascii="仿宋_GB2312" w:eastAsia="仿宋_GB2312"/>
          <w:sz w:val="32"/>
          <w:szCs w:val="32"/>
        </w:rPr>
        <w:t>年</w:t>
      </w:r>
      <w:r>
        <w:rPr>
          <w:rFonts w:ascii="仿宋_GB2312" w:eastAsia="仿宋_GB2312"/>
          <w:sz w:val="32"/>
          <w:szCs w:val="32"/>
        </w:rPr>
        <w:t>5</w:t>
      </w:r>
      <w:r>
        <w:rPr>
          <w:rFonts w:hint="eastAsia" w:ascii="仿宋_GB2312" w:eastAsia="仿宋_GB2312"/>
          <w:sz w:val="32"/>
          <w:szCs w:val="32"/>
        </w:rPr>
        <w:t>月，佛山市人民政府发布《佛山市海绵城市规划建设管理办法》（佛府办〔2021〕</w:t>
      </w:r>
      <w:r>
        <w:rPr>
          <w:rFonts w:ascii="仿宋_GB2312" w:eastAsia="仿宋_GB2312"/>
          <w:sz w:val="32"/>
          <w:szCs w:val="32"/>
        </w:rPr>
        <w:t>7</w:t>
      </w:r>
      <w:r>
        <w:rPr>
          <w:rFonts w:hint="eastAsia" w:ascii="仿宋_GB2312" w:eastAsia="仿宋_GB2312"/>
          <w:sz w:val="32"/>
          <w:szCs w:val="32"/>
        </w:rPr>
        <w:t>号），要求市住房城乡建设主管部门依职能牵头负责将海绵城市建设要求及相关工程措施作为施工许可环节的重点审查内容，并在工程竣工验收应当检查海绵城市相关工程措施的落实情况。因此，为进一步规范本市海绵城市建设项目的竣工验收，落实上级政策文件要求，我局草拟了《实施细则》。综上，我局制定《佛山市海绵城市建设工程竣工验收实施细则》具备充足的法律依据。</w:t>
      </w:r>
    </w:p>
    <w:p>
      <w:pPr>
        <w:autoSpaceDE w:val="0"/>
        <w:spacing w:line="56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（二）起草必要性</w:t>
      </w:r>
    </w:p>
    <w:p>
      <w:pPr>
        <w:autoSpaceDE w:val="0"/>
        <w:spacing w:line="560" w:lineRule="exact"/>
        <w:ind w:firstLine="640"/>
        <w:rPr>
          <w:rFonts w:ascii="仿宋_GB2312" w:eastAsia="仿宋_GB2312"/>
          <w:sz w:val="32"/>
          <w:szCs w:val="32"/>
        </w:rPr>
      </w:pPr>
      <w:r>
        <w:rPr>
          <w:rFonts w:hint="eastAsia" w:ascii="仿宋_GB2312" w:eastAsia="仿宋_GB2312"/>
          <w:sz w:val="32"/>
          <w:szCs w:val="32"/>
        </w:rPr>
        <w:t>我市近些年的海绵城市建设工作虽然取得了较大成效，但在建设过程中，发现部分海绵城市建设项目验收不规范、不统一，验收工作尚缺乏统一的标准指引，影响海绵城市建设项目的质量和效果。为推进我市海绵城市建设，及时消除海绵建设项目验收标准缺少的弊端，保障海绵城市有序推进，为我市经济社会发展营造良好的生态环境，我市特制定《实施细则》。</w:t>
      </w:r>
    </w:p>
    <w:p>
      <w:pPr>
        <w:pStyle w:val="2"/>
        <w:autoSpaceDE w:val="0"/>
        <w:spacing w:line="560" w:lineRule="exact"/>
        <w:ind w:left="420" w:leftChars="200" w:firstLine="320" w:firstLineChars="1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 xml:space="preserve">（三）政策可行性 </w:t>
      </w:r>
    </w:p>
    <w:p>
      <w:pPr>
        <w:pStyle w:val="2"/>
        <w:autoSpaceDE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为了提高《实施细则》的可行性和实操性，我局细致研读了《建设工程质量管理条例》《房屋建筑和市政基础设施工程竣工验收规定》、《建筑工程施工质量验收统一标准》（</w:t>
      </w:r>
      <w:r>
        <w:rPr>
          <w:rFonts w:ascii="仿宋_GB2312" w:eastAsia="仿宋_GB2312"/>
          <w:sz w:val="32"/>
          <w:szCs w:val="32"/>
        </w:rPr>
        <w:t>GB50300-2013</w:t>
      </w:r>
      <w:r>
        <w:rPr>
          <w:rFonts w:hint="eastAsia" w:ascii="仿宋_GB2312" w:eastAsia="仿宋_GB2312"/>
          <w:sz w:val="32"/>
          <w:szCs w:val="32"/>
        </w:rPr>
        <w:t>）、《海绵城市建设技术指南——低影响开发雨水系统构建（试行）》、《海绵城市建设评价标准》（</w:t>
      </w:r>
      <w:r>
        <w:rPr>
          <w:rFonts w:ascii="仿宋_GB2312" w:eastAsia="仿宋_GB2312"/>
          <w:sz w:val="32"/>
          <w:szCs w:val="32"/>
        </w:rPr>
        <w:t>GB/T51345-2018</w:t>
      </w:r>
      <w:r>
        <w:rPr>
          <w:rFonts w:hint="eastAsia" w:ascii="仿宋_GB2312" w:eastAsia="仿宋_GB2312"/>
          <w:sz w:val="32"/>
          <w:szCs w:val="32"/>
        </w:rPr>
        <w:t>）和《佛山市海绵城市规划建设管理办法》等相关文件，并到市内各区进行实地调研，结合我市实际情况，围绕各类海绵城市建设项目验收程序、验收报告等关键内容进行了反复讨论形成实施细则。</w:t>
      </w:r>
    </w:p>
    <w:p>
      <w:pPr>
        <w:pStyle w:val="2"/>
        <w:autoSpaceDE w:val="0"/>
        <w:spacing w:line="560" w:lineRule="exact"/>
        <w:ind w:left="420" w:leftChars="200" w:firstLine="320" w:firstLineChars="1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（四）实施效果评估</w:t>
      </w:r>
    </w:p>
    <w:p>
      <w:pPr>
        <w:pStyle w:val="2"/>
        <w:autoSpaceDE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实施细则》通过参考与海绵城市、工程验收相关的文件并结合我市海绵建设的实际情况，明确了海绵城市建设项目验收要求，统一了我市各区的海绵城市项目验收标准。其中《实施细则》对海绵城市专项验收实施组织程序和验收报告等进行了细致的规定，能有效地对各区的海绵城市建设项目验收工作作出指引，政策具有适用性和实操性。《实施细则》印发后，将为我市海绵城市建设项目验收提供规范标准。</w:t>
      </w:r>
    </w:p>
    <w:p>
      <w:pPr>
        <w:numPr>
          <w:ilvl w:val="0"/>
          <w:numId w:val="1"/>
        </w:numPr>
        <w:autoSpaceDE w:val="0"/>
        <w:spacing w:line="560" w:lineRule="exact"/>
        <w:ind w:firstLine="640"/>
        <w:rPr>
          <w:rFonts w:ascii="黑体" w:hAnsi="黑体" w:eastAsia="黑体"/>
          <w:sz w:val="32"/>
          <w:szCs w:val="32"/>
        </w:rPr>
      </w:pPr>
      <w:r>
        <w:rPr>
          <w:rFonts w:hint="eastAsia" w:ascii="黑体" w:hAnsi="黑体" w:eastAsia="黑体"/>
          <w:sz w:val="32"/>
          <w:szCs w:val="32"/>
        </w:rPr>
        <w:t>法律法规政策依据</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《实施细则》主要依据《建设工程质量管理条例》、《佛山市海绵城市规划建设管理办法》（佛府办〔2021〕</w:t>
      </w:r>
      <w:r>
        <w:rPr>
          <w:rFonts w:ascii="仿宋_GB2312" w:eastAsia="仿宋_GB2312"/>
          <w:sz w:val="32"/>
          <w:szCs w:val="32"/>
        </w:rPr>
        <w:t>7</w:t>
      </w:r>
      <w:r>
        <w:rPr>
          <w:rFonts w:hint="eastAsia" w:ascii="仿宋_GB2312" w:eastAsia="仿宋_GB2312"/>
          <w:sz w:val="32"/>
          <w:szCs w:val="32"/>
        </w:rPr>
        <w:t>号）的要求制定。</w:t>
      </w:r>
    </w:p>
    <w:p>
      <w:pPr>
        <w:numPr>
          <w:ilvl w:val="0"/>
          <w:numId w:val="1"/>
        </w:numPr>
        <w:autoSpaceDE w:val="0"/>
        <w:spacing w:line="560" w:lineRule="exact"/>
        <w:ind w:firstLine="640"/>
        <w:rPr>
          <w:rFonts w:ascii="黑体" w:hAnsi="黑体" w:eastAsia="黑体"/>
          <w:sz w:val="32"/>
          <w:szCs w:val="32"/>
        </w:rPr>
      </w:pPr>
      <w:r>
        <w:rPr>
          <w:rFonts w:hint="eastAsia" w:ascii="黑体" w:hAnsi="黑体" w:eastAsia="黑体"/>
          <w:sz w:val="32"/>
          <w:szCs w:val="32"/>
        </w:rPr>
        <w:t>文件的制定程序说明</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我局着手研究相关政策及技术标准，并到各区进行实地调研，根据《佛山市海绵城</w:t>
      </w:r>
      <w:bookmarkStart w:id="0" w:name="_GoBack"/>
      <w:bookmarkEnd w:id="0"/>
      <w:r>
        <w:rPr>
          <w:rFonts w:hint="eastAsia" w:ascii="仿宋_GB2312" w:eastAsia="仿宋_GB2312"/>
          <w:sz w:val="32"/>
          <w:szCs w:val="32"/>
        </w:rPr>
        <w:t>市规划建设管理办法》等相关文件要求，结合我市实际，草拟了《佛山市海绵城市建设工程竣工验收实施细则》（第二次征求意见稿），现公开征求社会公众意见。</w:t>
      </w:r>
    </w:p>
    <w:p>
      <w:pPr>
        <w:numPr>
          <w:ilvl w:val="0"/>
          <w:numId w:val="1"/>
        </w:numPr>
        <w:autoSpaceDE w:val="0"/>
        <w:snapToGrid w:val="0"/>
        <w:spacing w:line="560" w:lineRule="exact"/>
        <w:ind w:firstLine="640"/>
        <w:rPr>
          <w:rFonts w:ascii="黑体" w:hAnsi="黑体" w:eastAsia="黑体" w:cs="黑体"/>
          <w:sz w:val="32"/>
          <w:szCs w:val="32"/>
        </w:rPr>
      </w:pPr>
      <w:r>
        <w:rPr>
          <w:rFonts w:hint="eastAsia" w:ascii="黑体" w:hAnsi="黑体" w:eastAsia="黑体" w:cs="黑体"/>
          <w:sz w:val="32"/>
          <w:szCs w:val="32"/>
        </w:rPr>
        <w:t>主要内容说明</w:t>
      </w:r>
    </w:p>
    <w:p>
      <w:pPr>
        <w:autoSpaceDE w:val="0"/>
        <w:snapToGrid w:val="0"/>
        <w:spacing w:line="560" w:lineRule="exact"/>
        <w:ind w:firstLine="641"/>
        <w:rPr>
          <w:rFonts w:ascii="仿宋_GB2312" w:eastAsia="仿宋_GB2312"/>
          <w:sz w:val="32"/>
          <w:szCs w:val="32"/>
        </w:rPr>
      </w:pPr>
      <w:r>
        <w:rPr>
          <w:rFonts w:hint="eastAsia" w:ascii="仿宋_GB2312" w:eastAsia="仿宋_GB2312"/>
          <w:sz w:val="32"/>
          <w:szCs w:val="32"/>
        </w:rPr>
        <w:t>《实施细则》共分为七部分。其中：</w:t>
      </w:r>
    </w:p>
    <w:p>
      <w:pPr>
        <w:pStyle w:val="2"/>
        <w:snapToGrid w:val="0"/>
        <w:spacing w:line="560" w:lineRule="exact"/>
        <w:ind w:firstLine="641"/>
        <w:rPr>
          <w:rFonts w:ascii="仿宋_GB2312" w:hAnsi="Calibri" w:eastAsia="仿宋_GB2312"/>
          <w:sz w:val="32"/>
          <w:szCs w:val="32"/>
        </w:rPr>
      </w:pPr>
      <w:r>
        <w:rPr>
          <w:rFonts w:hint="eastAsia" w:ascii="仿宋_GB2312" w:hAnsi="Calibri" w:eastAsia="仿宋_GB2312"/>
          <w:sz w:val="32"/>
          <w:szCs w:val="32"/>
        </w:rPr>
        <w:t>第一部分为第一条，阐述了制定该《实施细则》的目的以及制定所依据的相关文件。</w:t>
      </w:r>
    </w:p>
    <w:p>
      <w:pPr>
        <w:pStyle w:val="2"/>
        <w:snapToGrid w:val="0"/>
        <w:spacing w:line="560" w:lineRule="exact"/>
        <w:ind w:firstLine="641"/>
        <w:rPr>
          <w:rFonts w:ascii="仿宋_GB2312" w:hAnsi="Calibri" w:eastAsia="仿宋_GB2312"/>
          <w:sz w:val="32"/>
          <w:szCs w:val="32"/>
        </w:rPr>
      </w:pPr>
      <w:r>
        <w:rPr>
          <w:rFonts w:hint="eastAsia" w:ascii="仿宋_GB2312" w:hAnsi="Calibri" w:eastAsia="仿宋_GB2312"/>
          <w:sz w:val="32"/>
          <w:szCs w:val="32"/>
        </w:rPr>
        <w:t>第二部分为第二条，明确了《实施细则》的适用范围。</w:t>
      </w:r>
    </w:p>
    <w:p>
      <w:pPr>
        <w:pStyle w:val="8"/>
        <w:numPr>
          <w:ilvl w:val="255"/>
          <w:numId w:val="0"/>
        </w:numPr>
        <w:spacing w:line="600" w:lineRule="exact"/>
        <w:ind w:firstLine="640" w:firstLineChars="200"/>
        <w:jc w:val="both"/>
        <w:rPr>
          <w:rFonts w:ascii="仿宋_GB2312" w:hAnsi="仿宋_GB2312" w:eastAsia="仿宋_GB2312" w:cs="仿宋_GB2312"/>
          <w:lang w:eastAsia="zh-CN"/>
        </w:rPr>
      </w:pPr>
      <w:r>
        <w:rPr>
          <w:rFonts w:hint="eastAsia" w:ascii="仿宋_GB2312" w:hAnsi="Calibri" w:eastAsia="仿宋_GB2312"/>
          <w:lang w:eastAsia="zh-CN"/>
        </w:rPr>
        <w:t>第三部分为第三-四条，明确了《实施细则》实施主体和要求，明确海绵城市建设工程验收未组织或</w:t>
      </w:r>
      <w:r>
        <w:rPr>
          <w:rFonts w:hint="eastAsia" w:ascii="仿宋_GB2312" w:hAnsi="仿宋_GB2312" w:eastAsia="仿宋_GB2312" w:cs="仿宋_GB2312"/>
          <w:lang w:eastAsia="zh-CN"/>
        </w:rPr>
        <w:t>验收不合格的项目竣工验收不予通过。</w:t>
      </w:r>
    </w:p>
    <w:p>
      <w:pPr>
        <w:pStyle w:val="2"/>
        <w:snapToGrid w:val="0"/>
        <w:spacing w:line="560" w:lineRule="exact"/>
        <w:ind w:firstLine="641"/>
        <w:rPr>
          <w:rFonts w:ascii="仿宋_GB2312" w:hAnsi="Calibri" w:eastAsia="仿宋_GB2312"/>
          <w:sz w:val="32"/>
          <w:szCs w:val="32"/>
        </w:rPr>
      </w:pPr>
      <w:r>
        <w:rPr>
          <w:rFonts w:hint="eastAsia" w:ascii="仿宋_GB2312" w:hAnsi="Calibri" w:eastAsia="仿宋_GB2312"/>
          <w:sz w:val="32"/>
          <w:szCs w:val="32"/>
        </w:rPr>
        <w:t>第四部分为第五-七条，明确了海绵城市建设工程竣工验收流程、必需材料和审查内容。</w:t>
      </w:r>
    </w:p>
    <w:p>
      <w:pPr>
        <w:pStyle w:val="2"/>
        <w:snapToGrid w:val="0"/>
        <w:spacing w:line="560" w:lineRule="exact"/>
        <w:ind w:firstLine="641"/>
        <w:rPr>
          <w:rFonts w:ascii="仿宋_GB2312" w:hAnsi="Calibri" w:eastAsia="仿宋_GB2312"/>
          <w:sz w:val="32"/>
          <w:szCs w:val="32"/>
        </w:rPr>
      </w:pPr>
      <w:r>
        <w:rPr>
          <w:rFonts w:hint="eastAsia" w:ascii="仿宋_GB2312" w:hAnsi="Calibri" w:eastAsia="仿宋_GB2312"/>
          <w:sz w:val="32"/>
          <w:szCs w:val="32"/>
        </w:rPr>
        <w:t>第五部分为第八条，明确了《佛山市海绵城市建设工程竣工验收实施细则》解释权归属及本细则执行时效。</w:t>
      </w:r>
    </w:p>
    <w:p>
      <w:pPr>
        <w:pStyle w:val="2"/>
        <w:snapToGrid w:val="0"/>
        <w:spacing w:line="560" w:lineRule="exact"/>
        <w:ind w:firstLine="641"/>
        <w:rPr>
          <w:rFonts w:ascii="仿宋_GB2312" w:hAnsi="Calibri" w:eastAsia="仿宋_GB2312"/>
          <w:sz w:val="32"/>
          <w:szCs w:val="32"/>
        </w:rPr>
      </w:pPr>
    </w:p>
    <w:p>
      <w:pPr>
        <w:spacing w:line="560" w:lineRule="exact"/>
      </w:pPr>
    </w:p>
    <w:sectPr>
      <w:pgSz w:w="11906" w:h="16838"/>
      <w:pgMar w:top="1701" w:right="1418" w:bottom="1134" w:left="1418" w:header="1134" w:footer="851" w:gutter="567"/>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1D61CD"/>
    <w:multiLevelType w:val="multilevel"/>
    <w:tmpl w:val="221D61CD"/>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A5C"/>
    <w:rsid w:val="00072561"/>
    <w:rsid w:val="0013385A"/>
    <w:rsid w:val="00277701"/>
    <w:rsid w:val="002931A8"/>
    <w:rsid w:val="003D5C97"/>
    <w:rsid w:val="00453BF5"/>
    <w:rsid w:val="00485A13"/>
    <w:rsid w:val="005F1C30"/>
    <w:rsid w:val="00631F77"/>
    <w:rsid w:val="0071291B"/>
    <w:rsid w:val="0081292D"/>
    <w:rsid w:val="00897F6C"/>
    <w:rsid w:val="008C2403"/>
    <w:rsid w:val="008D5CED"/>
    <w:rsid w:val="00AA3A37"/>
    <w:rsid w:val="00AB3F90"/>
    <w:rsid w:val="00B017E4"/>
    <w:rsid w:val="00B37A5C"/>
    <w:rsid w:val="00B9342D"/>
    <w:rsid w:val="00E23953"/>
    <w:rsid w:val="00E51012"/>
    <w:rsid w:val="00E70791"/>
    <w:rsid w:val="00F10A46"/>
    <w:rsid w:val="00F667D8"/>
    <w:rsid w:val="035F239E"/>
    <w:rsid w:val="0AD06F9D"/>
    <w:rsid w:val="121D5B94"/>
    <w:rsid w:val="24BA512B"/>
    <w:rsid w:val="32085AE3"/>
    <w:rsid w:val="39F00E46"/>
    <w:rsid w:val="545269F5"/>
    <w:rsid w:val="55466A21"/>
    <w:rsid w:val="6F4F5A8B"/>
    <w:rsid w:val="7BE60254"/>
    <w:rsid w:val="BFFF99BB"/>
    <w:rsid w:val="EBFC667D"/>
    <w:rsid w:val="F8F5C6DD"/>
    <w:rsid w:val="FBD9642F"/>
    <w:rsid w:val="FFF81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4">
    <w:name w:val="heading 1"/>
    <w:basedOn w:val="1"/>
    <w:next w:val="1"/>
    <w:link w:val="15"/>
    <w:qFormat/>
    <w:uiPriority w:val="9"/>
    <w:pPr>
      <w:keepNext/>
      <w:keepLines/>
      <w:spacing w:before="100" w:beforeLines="100" w:after="100" w:afterLines="100" w:line="440" w:lineRule="atLeast"/>
      <w:contextualSpacing/>
      <w:jc w:val="center"/>
      <w:outlineLvl w:val="0"/>
    </w:pPr>
    <w:rPr>
      <w:rFonts w:ascii="黑体" w:hAnsi="黑体" w:eastAsia="黑体"/>
      <w:b/>
      <w:bCs/>
      <w:kern w:val="44"/>
      <w:sz w:val="32"/>
      <w:szCs w:val="32"/>
    </w:rPr>
  </w:style>
  <w:style w:type="paragraph" w:styleId="5">
    <w:name w:val="heading 2"/>
    <w:basedOn w:val="1"/>
    <w:next w:val="1"/>
    <w:link w:val="16"/>
    <w:unhideWhenUsed/>
    <w:qFormat/>
    <w:uiPriority w:val="9"/>
    <w:pPr>
      <w:keepNext/>
      <w:keepLines/>
      <w:spacing w:before="156" w:beforeLines="50" w:after="156" w:afterLines="50" w:line="440" w:lineRule="atLeast"/>
      <w:outlineLvl w:val="1"/>
    </w:pPr>
    <w:rPr>
      <w:rFonts w:ascii="Times New Roman" w:hAnsi="Times New Roman" w:eastAsia="黑体"/>
      <w:b/>
      <w:bCs/>
      <w:sz w:val="28"/>
      <w:szCs w:val="28"/>
    </w:rPr>
  </w:style>
  <w:style w:type="paragraph" w:styleId="6">
    <w:name w:val="heading 3"/>
    <w:basedOn w:val="1"/>
    <w:next w:val="1"/>
    <w:link w:val="17"/>
    <w:unhideWhenUsed/>
    <w:qFormat/>
    <w:uiPriority w:val="9"/>
    <w:pPr>
      <w:keepNext/>
      <w:keepLines/>
      <w:spacing w:before="156" w:beforeLines="50" w:after="156" w:afterLines="50" w:line="415" w:lineRule="auto"/>
      <w:outlineLvl w:val="2"/>
    </w:pPr>
    <w:rPr>
      <w:b/>
      <w:bCs/>
      <w:sz w:val="24"/>
      <w:szCs w:val="32"/>
    </w:rPr>
  </w:style>
  <w:style w:type="paragraph" w:styleId="7">
    <w:name w:val="heading 4"/>
    <w:basedOn w:val="1"/>
    <w:next w:val="1"/>
    <w:link w:val="18"/>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 21"/>
    <w:basedOn w:val="3"/>
    <w:qFormat/>
    <w:uiPriority w:val="0"/>
    <w:pPr>
      <w:adjustRightInd w:val="0"/>
      <w:spacing w:after="0"/>
      <w:ind w:left="0" w:leftChars="0" w:firstLine="420"/>
      <w:jc w:val="left"/>
    </w:pPr>
    <w:rPr>
      <w:rFonts w:ascii="Times New Roman" w:hAnsi="Times New Roman"/>
      <w:sz w:val="24"/>
      <w:szCs w:val="24"/>
    </w:rPr>
  </w:style>
  <w:style w:type="paragraph" w:styleId="3">
    <w:name w:val="Body Text Indent"/>
    <w:basedOn w:val="1"/>
    <w:link w:val="22"/>
    <w:semiHidden/>
    <w:unhideWhenUsed/>
    <w:qFormat/>
    <w:uiPriority w:val="99"/>
    <w:pPr>
      <w:spacing w:after="120"/>
      <w:ind w:left="420" w:leftChars="200"/>
    </w:pPr>
  </w:style>
  <w:style w:type="paragraph" w:styleId="8">
    <w:name w:val="Body Text"/>
    <w:basedOn w:val="1"/>
    <w:qFormat/>
    <w:uiPriority w:val="1"/>
    <w:pPr>
      <w:autoSpaceDE w:val="0"/>
      <w:autoSpaceDN w:val="0"/>
      <w:ind w:left="257"/>
      <w:jc w:val="left"/>
    </w:pPr>
    <w:rPr>
      <w:rFonts w:ascii="仿宋" w:hAnsi="仿宋" w:eastAsia="仿宋" w:cs="仿宋"/>
      <w:kern w:val="0"/>
      <w:sz w:val="32"/>
      <w:szCs w:val="32"/>
      <w:lang w:eastAsia="en-US"/>
    </w:rPr>
  </w:style>
  <w:style w:type="paragraph" w:styleId="9">
    <w:name w:val="footer"/>
    <w:basedOn w:val="1"/>
    <w:link w:val="25"/>
    <w:unhideWhenUsed/>
    <w:qFormat/>
    <w:uiPriority w:val="99"/>
    <w:pPr>
      <w:tabs>
        <w:tab w:val="center" w:pos="4153"/>
        <w:tab w:val="right" w:pos="8306"/>
      </w:tabs>
      <w:snapToGrid w:val="0"/>
      <w:jc w:val="left"/>
    </w:pPr>
    <w:rPr>
      <w:sz w:val="18"/>
      <w:szCs w:val="18"/>
    </w:rPr>
  </w:style>
  <w:style w:type="paragraph" w:styleId="10">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line="225" w:lineRule="atLeast"/>
      <w:jc w:val="left"/>
    </w:pPr>
    <w:rPr>
      <w:rFonts w:ascii="宋体" w:hAnsi="宋体"/>
      <w:kern w:val="0"/>
      <w:sz w:val="24"/>
      <w:szCs w:val="20"/>
    </w:rPr>
  </w:style>
  <w:style w:type="character" w:styleId="14">
    <w:name w:val="Hyperlink"/>
    <w:basedOn w:val="13"/>
    <w:unhideWhenUsed/>
    <w:qFormat/>
    <w:uiPriority w:val="99"/>
    <w:rPr>
      <w:color w:val="0000FF" w:themeColor="hyperlink"/>
      <w:u w:val="single"/>
      <w14:textFill>
        <w14:solidFill>
          <w14:schemeClr w14:val="hlink"/>
        </w14:solidFill>
      </w14:textFill>
    </w:rPr>
  </w:style>
  <w:style w:type="character" w:customStyle="1" w:styleId="15">
    <w:name w:val="标题 1 字符"/>
    <w:basedOn w:val="13"/>
    <w:link w:val="4"/>
    <w:qFormat/>
    <w:uiPriority w:val="9"/>
    <w:rPr>
      <w:rFonts w:ascii="黑体" w:hAnsi="黑体" w:eastAsia="黑体" w:cs="Times New Roman"/>
      <w:b/>
      <w:bCs/>
      <w:kern w:val="44"/>
      <w:sz w:val="32"/>
      <w:szCs w:val="32"/>
    </w:rPr>
  </w:style>
  <w:style w:type="character" w:customStyle="1" w:styleId="16">
    <w:name w:val="标题 2 字符"/>
    <w:basedOn w:val="13"/>
    <w:link w:val="5"/>
    <w:qFormat/>
    <w:uiPriority w:val="9"/>
    <w:rPr>
      <w:rFonts w:ascii="Times New Roman" w:hAnsi="Times New Roman" w:eastAsia="黑体" w:cs="Times New Roman"/>
      <w:b/>
      <w:bCs/>
      <w:sz w:val="28"/>
      <w:szCs w:val="28"/>
    </w:rPr>
  </w:style>
  <w:style w:type="character" w:customStyle="1" w:styleId="17">
    <w:name w:val="标题 3 字符"/>
    <w:basedOn w:val="13"/>
    <w:link w:val="6"/>
    <w:qFormat/>
    <w:uiPriority w:val="9"/>
    <w:rPr>
      <w:b/>
      <w:bCs/>
      <w:sz w:val="24"/>
      <w:szCs w:val="32"/>
    </w:rPr>
  </w:style>
  <w:style w:type="character" w:customStyle="1" w:styleId="18">
    <w:name w:val="标题 4 字符"/>
    <w:basedOn w:val="13"/>
    <w:link w:val="7"/>
    <w:qFormat/>
    <w:uiPriority w:val="9"/>
    <w:rPr>
      <w:rFonts w:asciiTheme="majorHAnsi" w:hAnsiTheme="majorHAnsi" w:eastAsiaTheme="majorEastAsia" w:cstheme="majorBidi"/>
      <w:b/>
      <w:bCs/>
      <w:sz w:val="28"/>
      <w:szCs w:val="28"/>
    </w:rPr>
  </w:style>
  <w:style w:type="paragraph" w:styleId="19">
    <w:name w:val="No Spacing"/>
    <w:qFormat/>
    <w:uiPriority w:val="1"/>
    <w:pPr>
      <w:widowControl w:val="0"/>
      <w:spacing w:line="440" w:lineRule="exact"/>
      <w:jc w:val="both"/>
    </w:pPr>
    <w:rPr>
      <w:rFonts w:asciiTheme="minorHAnsi" w:hAnsiTheme="minorHAnsi" w:eastAsiaTheme="minorEastAsia" w:cstheme="minorBidi"/>
      <w:kern w:val="2"/>
      <w:sz w:val="21"/>
      <w:szCs w:val="21"/>
      <w:lang w:val="en-US" w:eastAsia="zh-CN" w:bidi="ar-SA"/>
    </w:rPr>
  </w:style>
  <w:style w:type="paragraph" w:styleId="20">
    <w:name w:val="List Paragraph"/>
    <w:basedOn w:val="1"/>
    <w:qFormat/>
    <w:uiPriority w:val="34"/>
    <w:pPr>
      <w:ind w:firstLine="420" w:firstLineChars="200"/>
    </w:pPr>
  </w:style>
  <w:style w:type="paragraph" w:customStyle="1" w:styleId="21">
    <w:name w:val="TOC 标题1"/>
    <w:basedOn w:val="4"/>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376092" w:themeColor="accent1" w:themeShade="BF"/>
      <w:kern w:val="0"/>
    </w:rPr>
  </w:style>
  <w:style w:type="character" w:customStyle="1" w:styleId="22">
    <w:name w:val="正文文本缩进 字符"/>
    <w:basedOn w:val="13"/>
    <w:link w:val="3"/>
    <w:semiHidden/>
    <w:qFormat/>
    <w:uiPriority w:val="99"/>
    <w:rPr>
      <w:rFonts w:ascii="Calibri" w:hAnsi="Calibri" w:eastAsia="宋体" w:cs="Times New Roman"/>
    </w:rPr>
  </w:style>
  <w:style w:type="paragraph" w:customStyle="1" w:styleId="23">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Times New Roman" w:hAnsi="Times New Roman"/>
      <w:szCs w:val="20"/>
    </w:rPr>
  </w:style>
  <w:style w:type="character" w:customStyle="1" w:styleId="24">
    <w:name w:val="页眉 字符"/>
    <w:basedOn w:val="13"/>
    <w:link w:val="10"/>
    <w:qFormat/>
    <w:uiPriority w:val="99"/>
    <w:rPr>
      <w:rFonts w:ascii="Calibri" w:hAnsi="Calibri" w:eastAsia="宋体" w:cs="Times New Roman"/>
      <w:sz w:val="18"/>
      <w:szCs w:val="18"/>
    </w:rPr>
  </w:style>
  <w:style w:type="character" w:customStyle="1" w:styleId="25">
    <w:name w:val="页脚 字符"/>
    <w:basedOn w:val="13"/>
    <w:link w:val="9"/>
    <w:qFormat/>
    <w:uiPriority w:val="99"/>
    <w:rPr>
      <w:rFonts w:ascii="Calibri" w:hAnsi="Calibri" w:eastAsia="宋体" w:cs="Times New Roman"/>
      <w:sz w:val="18"/>
      <w:szCs w:val="18"/>
    </w:rPr>
  </w:style>
  <w:style w:type="paragraph" w:customStyle="1" w:styleId="26">
    <w:name w:val="Revision"/>
    <w:hidden/>
    <w:unhideWhenUsed/>
    <w:qFormat/>
    <w:uiPriority w:val="99"/>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217</Words>
  <Characters>1241</Characters>
  <Lines>10</Lines>
  <Paragraphs>2</Paragraphs>
  <TotalTime>12</TotalTime>
  <ScaleCrop>false</ScaleCrop>
  <LinksUpToDate>false</LinksUpToDate>
  <CharactersWithSpaces>1456</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2023-05-08T21:10:00Z</dcterms:created>
  <dc:creator>Zhu Junguo</dc:creator>
  <cp:lastModifiedBy>戴梦霞</cp:lastModifiedBy>
  <dcterms:modified xsi:type="dcterms:W3CDTF">2023-10-13T07:51:07Z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588EC0011E72428B803FFB56001AE106</vt:lpwstr>
  </property>
</Properties>
</file>