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ascii="黑体" w:hAnsi="黑体" w:eastAsia="黑体" w:cs="黑体"/>
          <w:sz w:val="32"/>
          <w:szCs w:val="32"/>
          <w:lang w:val="en-US" w:eastAsia="zh-CN"/>
        </w:rPr>
      </w:pPr>
      <w:bookmarkStart w:id="43" w:name="_GoBack"/>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bookmarkEnd w:id="43"/>
    <w:p>
      <w:pPr>
        <w:ind w:firstLine="880"/>
        <w:rPr>
          <w:rFonts w:ascii="宋体" w:hAnsi="宋体"/>
          <w:sz w:val="32"/>
          <w:szCs w:val="32"/>
        </w:rPr>
      </w:pPr>
    </w:p>
    <w:p>
      <w:pPr>
        <w:ind w:firstLine="880"/>
        <w:rPr>
          <w:rFonts w:ascii="宋体" w:hAnsi="宋体"/>
          <w:sz w:val="32"/>
          <w:szCs w:val="32"/>
        </w:rPr>
      </w:pPr>
      <w:r>
        <w:rPr>
          <w:rFonts w:ascii="宋体" w:hAnsi="宋体"/>
          <w:sz w:val="32"/>
          <w:szCs w:val="32"/>
        </w:rPr>
        <w:t xml:space="preserve">           </w:t>
      </w:r>
      <w:r>
        <w:rPr>
          <w:rFonts w:hint="eastAsia" w:ascii="宋体" w:hAnsi="宋体"/>
          <w:sz w:val="52"/>
        </w:rPr>
        <w:t xml:space="preserve">   </w:t>
      </w:r>
    </w:p>
    <w:p>
      <w:pPr>
        <w:ind w:firstLine="964"/>
        <w:jc w:val="center"/>
        <w:rPr>
          <w:rFonts w:ascii="宋体" w:hAnsi="宋体"/>
          <w:b/>
          <w:sz w:val="48"/>
          <w:szCs w:val="48"/>
        </w:rPr>
      </w:pPr>
    </w:p>
    <w:p>
      <w:pPr>
        <w:spacing w:line="720" w:lineRule="auto"/>
        <w:jc w:val="center"/>
        <w:rPr>
          <w:rFonts w:ascii="宋体" w:hAnsi="宋体"/>
          <w:b/>
          <w:sz w:val="40"/>
          <w:szCs w:val="48"/>
        </w:rPr>
      </w:pPr>
      <w:r>
        <w:rPr>
          <w:rFonts w:hint="eastAsia" w:ascii="宋体" w:hAnsi="宋体"/>
          <w:b/>
          <w:sz w:val="48"/>
          <w:szCs w:val="48"/>
        </w:rPr>
        <w:t>广东省《装配式建筑评价标准》</w:t>
      </w:r>
    </w:p>
    <w:p>
      <w:pPr>
        <w:spacing w:line="720" w:lineRule="auto"/>
        <w:jc w:val="center"/>
        <w:rPr>
          <w:rFonts w:ascii="宋体" w:hAnsi="宋体"/>
          <w:b/>
          <w:sz w:val="48"/>
          <w:szCs w:val="48"/>
        </w:rPr>
      </w:pPr>
      <w:r>
        <w:rPr>
          <w:rFonts w:hint="eastAsia" w:ascii="宋体" w:hAnsi="宋体"/>
          <w:b/>
          <w:sz w:val="48"/>
          <w:szCs w:val="48"/>
        </w:rPr>
        <w:t>佛山补充实施指引（</w:t>
      </w:r>
      <w:r>
        <w:rPr>
          <w:rFonts w:hint="eastAsia" w:ascii="宋体" w:hAnsi="宋体"/>
          <w:b/>
          <w:sz w:val="48"/>
          <w:szCs w:val="48"/>
          <w:lang w:val="en-US" w:eastAsia="zh-CN"/>
        </w:rPr>
        <w:t>2024版</w:t>
      </w:r>
      <w:r>
        <w:rPr>
          <w:rFonts w:hint="eastAsia" w:ascii="宋体" w:hAnsi="宋体"/>
          <w:b/>
          <w:sz w:val="48"/>
          <w:szCs w:val="48"/>
        </w:rPr>
        <w:t>）</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firstLine="602"/>
        <w:jc w:val="center"/>
        <w:rPr>
          <w:rFonts w:ascii="宋体" w:hAnsi="宋体"/>
          <w:b/>
          <w:sz w:val="28"/>
          <w:szCs w:val="28"/>
        </w:rPr>
      </w:pPr>
    </w:p>
    <w:p>
      <w:pPr>
        <w:ind w:firstLine="602"/>
        <w:jc w:val="center"/>
        <w:rPr>
          <w:rFonts w:ascii="宋体" w:hAnsi="宋体"/>
          <w:b/>
          <w:sz w:val="30"/>
          <w:szCs w:val="30"/>
        </w:rPr>
      </w:pPr>
    </w:p>
    <w:p>
      <w:pPr>
        <w:ind w:firstLine="602"/>
        <w:jc w:val="center"/>
        <w:rPr>
          <w:rFonts w:ascii="宋体" w:hAnsi="宋体"/>
          <w:b/>
          <w:sz w:val="30"/>
          <w:szCs w:val="30"/>
        </w:rPr>
      </w:pPr>
    </w:p>
    <w:p>
      <w:pPr>
        <w:ind w:firstLine="602"/>
        <w:jc w:val="center"/>
        <w:rPr>
          <w:rFonts w:ascii="宋体" w:hAnsi="宋体"/>
          <w:b/>
          <w:sz w:val="30"/>
          <w:szCs w:val="30"/>
        </w:rPr>
      </w:pPr>
    </w:p>
    <w:p>
      <w:pPr>
        <w:ind w:firstLine="602"/>
        <w:jc w:val="center"/>
        <w:rPr>
          <w:rFonts w:ascii="宋体" w:hAnsi="宋体"/>
          <w:b/>
          <w:sz w:val="30"/>
          <w:szCs w:val="30"/>
        </w:rPr>
      </w:pPr>
    </w:p>
    <w:p>
      <w:pPr>
        <w:pStyle w:val="25"/>
        <w:ind w:firstLine="560"/>
        <w:rPr>
          <w:rFonts w:ascii="宋体" w:hAnsi="宋体"/>
        </w:rPr>
      </w:pPr>
    </w:p>
    <w:p>
      <w:pPr>
        <w:ind w:firstLine="560"/>
        <w:rPr>
          <w:rFonts w:ascii="宋体" w:hAnsi="宋体"/>
        </w:rPr>
      </w:pPr>
    </w:p>
    <w:p>
      <w:pPr>
        <w:jc w:val="center"/>
        <w:rPr>
          <w:rFonts w:ascii="宋体" w:hAnsi="宋体"/>
          <w:spacing w:val="20"/>
          <w:sz w:val="32"/>
          <w:szCs w:val="32"/>
        </w:rPr>
      </w:pPr>
      <w:r>
        <w:rPr>
          <w:rFonts w:hint="eastAsia" w:ascii="宋体" w:hAnsi="宋体"/>
          <w:sz w:val="32"/>
          <w:szCs w:val="32"/>
        </w:rPr>
        <w:t>佛山市住房和城乡建设局</w:t>
      </w:r>
    </w:p>
    <w:p>
      <w:pPr>
        <w:jc w:val="center"/>
        <w:rPr>
          <w:rFonts w:ascii="宋体" w:hAnsi="宋体"/>
          <w:spacing w:val="20"/>
          <w:sz w:val="32"/>
          <w:szCs w:val="32"/>
        </w:rPr>
      </w:pPr>
      <w:r>
        <w:rPr>
          <w:rFonts w:hint="eastAsia" w:ascii="宋体" w:hAnsi="宋体"/>
          <w:spacing w:val="20"/>
          <w:sz w:val="32"/>
          <w:szCs w:val="32"/>
        </w:rPr>
        <w:t>2023年</w:t>
      </w:r>
      <w:r>
        <w:rPr>
          <w:rFonts w:hint="eastAsia" w:ascii="宋体" w:hAnsi="宋体"/>
          <w:spacing w:val="20"/>
          <w:sz w:val="32"/>
          <w:szCs w:val="32"/>
          <w:lang w:val="en-US" w:eastAsia="zh-CN"/>
        </w:rPr>
        <w:t>6</w:t>
      </w:r>
      <w:r>
        <w:rPr>
          <w:rFonts w:hint="eastAsia" w:ascii="宋体" w:hAnsi="宋体"/>
          <w:spacing w:val="20"/>
          <w:sz w:val="32"/>
          <w:szCs w:val="32"/>
        </w:rPr>
        <w:t>月</w:t>
      </w:r>
    </w:p>
    <w:p>
      <w:pPr>
        <w:jc w:val="center"/>
        <w:rPr>
          <w:rFonts w:ascii="宋体" w:hAnsi="宋体"/>
          <w:sz w:val="32"/>
          <w:szCs w:val="32"/>
        </w:rPr>
      </w:pPr>
    </w:p>
    <w:p>
      <w:pPr>
        <w:jc w:val="center"/>
        <w:rPr>
          <w:rFonts w:ascii="宋体" w:hAnsi="宋体"/>
          <w:sz w:val="32"/>
          <w:szCs w:val="32"/>
        </w:rPr>
      </w:pPr>
    </w:p>
    <w:p>
      <w:pPr>
        <w:jc w:val="center"/>
        <w:rPr>
          <w:rFonts w:ascii="宋体" w:hAnsi="宋体"/>
          <w:spacing w:val="20"/>
          <w:sz w:val="32"/>
          <w:szCs w:val="32"/>
        </w:rPr>
      </w:pPr>
    </w:p>
    <w:p>
      <w:pPr>
        <w:ind w:firstLine="640"/>
        <w:jc w:val="right"/>
        <w:rPr>
          <w:rFonts w:ascii="宋体" w:hAnsi="宋体" w:cs="仿宋_GB2312"/>
          <w:spacing w:val="20"/>
          <w:sz w:val="24"/>
        </w:rPr>
      </w:pPr>
    </w:p>
    <w:p>
      <w:pPr>
        <w:spacing w:line="580" w:lineRule="exact"/>
        <w:rPr>
          <w:rFonts w:ascii="宋体" w:hAnsi="宋体" w:cs="仿宋_GB2312"/>
          <w:sz w:val="28"/>
          <w:szCs w:val="28"/>
        </w:rPr>
        <w:sectPr>
          <w:pgSz w:w="11906" w:h="16838"/>
          <w:pgMar w:top="1440" w:right="1800" w:bottom="1118" w:left="1800" w:header="851" w:footer="992" w:gutter="0"/>
          <w:cols w:space="720" w:num="1"/>
          <w:docGrid w:type="lines" w:linePitch="312" w:charSpace="0"/>
        </w:sectPr>
      </w:pPr>
    </w:p>
    <w:p>
      <w:pPr>
        <w:spacing w:after="312" w:afterLines="100" w:line="360" w:lineRule="auto"/>
        <w:jc w:val="center"/>
        <w:rPr>
          <w:rFonts w:ascii="宋体" w:hAnsi="宋体"/>
          <w:b/>
          <w:sz w:val="36"/>
          <w:szCs w:val="36"/>
        </w:rPr>
      </w:pPr>
      <w:r>
        <w:rPr>
          <w:rFonts w:hint="eastAsia" w:ascii="宋体" w:hAnsi="宋体"/>
          <w:b/>
          <w:sz w:val="36"/>
          <w:szCs w:val="36"/>
        </w:rPr>
        <w:t xml:space="preserve">前 </w:t>
      </w:r>
      <w:r>
        <w:rPr>
          <w:rFonts w:ascii="宋体" w:hAnsi="宋体"/>
          <w:b/>
          <w:sz w:val="36"/>
          <w:szCs w:val="36"/>
        </w:rPr>
        <w:t xml:space="preserve"> </w:t>
      </w:r>
      <w:r>
        <w:rPr>
          <w:rFonts w:hint="eastAsia" w:ascii="宋体" w:hAnsi="宋体"/>
          <w:b/>
          <w:sz w:val="36"/>
          <w:szCs w:val="36"/>
        </w:rPr>
        <w:t>言</w:t>
      </w:r>
    </w:p>
    <w:p>
      <w:pPr>
        <w:pStyle w:val="25"/>
        <w:ind w:firstLine="560"/>
        <w:rPr>
          <w:rFonts w:ascii="宋体" w:hAnsi="宋体"/>
        </w:rPr>
      </w:pPr>
      <w:r>
        <w:rPr>
          <w:rFonts w:hint="eastAsia" w:ascii="宋体" w:hAnsi="宋体"/>
        </w:rPr>
        <w:t>根据《广东省住房和城乡建设厅等部门关于加快新型建筑工业化发展的实施意见》（粤建科〔2022〕99 号）及装配式建筑示范城市相关工作要求，佛山市装配式建筑与智能建造协会会同有关单位在广东省《装配式建筑评价标准》</w:t>
      </w:r>
      <w:r>
        <w:rPr>
          <w:rFonts w:ascii="宋体" w:hAnsi="宋体"/>
        </w:rPr>
        <w:t>DBJ/T 15-163-2019</w:t>
      </w:r>
      <w:r>
        <w:rPr>
          <w:rFonts w:hint="eastAsia" w:ascii="宋体" w:hAnsi="宋体"/>
        </w:rPr>
        <w:t>基础上，</w:t>
      </w:r>
      <w:r>
        <w:rPr>
          <w:rFonts w:ascii="宋体" w:hAnsi="宋体"/>
        </w:rPr>
        <w:t>结合</w:t>
      </w:r>
      <w:r>
        <w:rPr>
          <w:rFonts w:hint="eastAsia" w:ascii="宋体" w:hAnsi="宋体"/>
        </w:rPr>
        <w:t>佛山市</w:t>
      </w:r>
      <w:r>
        <w:rPr>
          <w:rFonts w:ascii="宋体" w:hAnsi="宋体"/>
        </w:rPr>
        <w:t>的实际情况，</w:t>
      </w:r>
      <w:r>
        <w:rPr>
          <w:rFonts w:hint="eastAsia" w:ascii="宋体" w:hAnsi="宋体"/>
        </w:rPr>
        <w:t>广泛调查研究国内有关省市装配式建筑评价做法，认真总结广东装配式建筑实践经验，在</w:t>
      </w:r>
      <w:r>
        <w:rPr>
          <w:rFonts w:ascii="宋体" w:hAnsi="宋体"/>
        </w:rPr>
        <w:t>广泛征求意见、反复讨论和修改的基础上，</w:t>
      </w:r>
      <w:r>
        <w:rPr>
          <w:rFonts w:hint="eastAsia" w:ascii="宋体" w:hAnsi="宋体"/>
        </w:rPr>
        <w:t>形成本指引。</w:t>
      </w:r>
    </w:p>
    <w:p>
      <w:pPr>
        <w:spacing w:line="580" w:lineRule="exact"/>
        <w:ind w:firstLine="560" w:firstLineChars="200"/>
        <w:rPr>
          <w:rFonts w:ascii="宋体" w:hAnsi="宋体"/>
          <w:sz w:val="28"/>
          <w:szCs w:val="28"/>
        </w:rPr>
      </w:pPr>
      <w:bookmarkStart w:id="0" w:name="_Hlk16003306"/>
      <w:r>
        <w:rPr>
          <w:rFonts w:ascii="宋体" w:hAnsi="宋体"/>
          <w:sz w:val="28"/>
          <w:szCs w:val="28"/>
        </w:rPr>
        <w:t>本</w:t>
      </w:r>
      <w:r>
        <w:rPr>
          <w:rFonts w:hint="eastAsia" w:ascii="宋体" w:hAnsi="宋体"/>
          <w:sz w:val="28"/>
          <w:szCs w:val="28"/>
        </w:rPr>
        <w:t>指引</w:t>
      </w:r>
      <w:r>
        <w:rPr>
          <w:rFonts w:ascii="宋体" w:hAnsi="宋体"/>
          <w:sz w:val="28"/>
          <w:szCs w:val="28"/>
        </w:rPr>
        <w:t>内容不涉及到任何专利。</w:t>
      </w:r>
    </w:p>
    <w:bookmarkEnd w:id="0"/>
    <w:p>
      <w:pPr>
        <w:spacing w:line="580" w:lineRule="exact"/>
        <w:ind w:firstLine="560" w:firstLineChars="200"/>
        <w:rPr>
          <w:rFonts w:ascii="宋体" w:hAnsi="宋体"/>
          <w:sz w:val="28"/>
          <w:szCs w:val="28"/>
        </w:rPr>
      </w:pPr>
      <w:r>
        <w:rPr>
          <w:rFonts w:ascii="宋体" w:hAnsi="宋体"/>
          <w:sz w:val="28"/>
          <w:szCs w:val="28"/>
        </w:rPr>
        <w:t>本</w:t>
      </w:r>
      <w:r>
        <w:rPr>
          <w:rFonts w:hint="eastAsia" w:ascii="宋体" w:hAnsi="宋体"/>
          <w:sz w:val="28"/>
          <w:szCs w:val="28"/>
        </w:rPr>
        <w:t>指引</w:t>
      </w:r>
      <w:r>
        <w:rPr>
          <w:rFonts w:ascii="宋体" w:hAnsi="宋体"/>
          <w:sz w:val="28"/>
          <w:szCs w:val="28"/>
        </w:rPr>
        <w:t>共分5章。主要内容包括：1总则；2术语；3基本规定；4装配率计算</w:t>
      </w:r>
      <w:r>
        <w:rPr>
          <w:rFonts w:hint="eastAsia" w:ascii="宋体" w:hAnsi="宋体"/>
          <w:sz w:val="28"/>
          <w:szCs w:val="28"/>
        </w:rPr>
        <w:t>；5评价等级划分</w:t>
      </w:r>
      <w:r>
        <w:rPr>
          <w:rFonts w:ascii="宋体" w:hAnsi="宋体"/>
          <w:sz w:val="28"/>
          <w:szCs w:val="28"/>
        </w:rPr>
        <w:t>。</w:t>
      </w:r>
    </w:p>
    <w:p>
      <w:pPr>
        <w:spacing w:line="580" w:lineRule="exact"/>
        <w:ind w:firstLine="560" w:firstLineChars="200"/>
        <w:rPr>
          <w:rFonts w:ascii="宋体" w:hAnsi="宋体"/>
          <w:sz w:val="28"/>
          <w:szCs w:val="28"/>
        </w:rPr>
      </w:pPr>
      <w:r>
        <w:rPr>
          <w:rFonts w:ascii="宋体" w:hAnsi="宋体"/>
          <w:sz w:val="28"/>
          <w:szCs w:val="28"/>
        </w:rPr>
        <w:t>本</w:t>
      </w:r>
      <w:r>
        <w:rPr>
          <w:rFonts w:hint="eastAsia" w:ascii="宋体" w:hAnsi="宋体"/>
          <w:sz w:val="28"/>
          <w:szCs w:val="28"/>
        </w:rPr>
        <w:t>指引</w:t>
      </w:r>
      <w:r>
        <w:rPr>
          <w:rFonts w:ascii="宋体" w:hAnsi="宋体"/>
          <w:sz w:val="28"/>
          <w:szCs w:val="28"/>
        </w:rPr>
        <w:t>由</w:t>
      </w:r>
      <w:r>
        <w:rPr>
          <w:rFonts w:hint="eastAsia" w:ascii="宋体" w:hAnsi="宋体"/>
          <w:sz w:val="28"/>
          <w:szCs w:val="28"/>
        </w:rPr>
        <w:t>佛山市住房</w:t>
      </w:r>
      <w:r>
        <w:rPr>
          <w:rFonts w:ascii="宋体" w:hAnsi="宋体"/>
          <w:sz w:val="28"/>
          <w:szCs w:val="28"/>
        </w:rPr>
        <w:t>和城乡建设局负责管理，由主编单位负责技术内容的解释。</w:t>
      </w:r>
    </w:p>
    <w:p>
      <w:pPr>
        <w:spacing w:line="580" w:lineRule="exact"/>
        <w:ind w:firstLine="560" w:firstLineChars="200"/>
        <w:rPr>
          <w:rFonts w:ascii="宋体" w:hAnsi="宋体"/>
          <w:sz w:val="28"/>
          <w:szCs w:val="28"/>
        </w:rPr>
      </w:pPr>
    </w:p>
    <w:p>
      <w:pPr>
        <w:spacing w:line="580" w:lineRule="exact"/>
        <w:ind w:firstLine="560" w:firstLineChars="200"/>
        <w:rPr>
          <w:rFonts w:ascii="宋体" w:hAnsi="宋体"/>
          <w:sz w:val="28"/>
          <w:szCs w:val="28"/>
        </w:rPr>
      </w:pPr>
      <w:r>
        <w:rPr>
          <w:rFonts w:ascii="宋体" w:hAnsi="宋体"/>
          <w:sz w:val="28"/>
          <w:szCs w:val="28"/>
        </w:rPr>
        <w:t xml:space="preserve">主编单位： </w:t>
      </w:r>
      <w:r>
        <w:rPr>
          <w:rFonts w:ascii="宋体" w:hAnsi="宋体"/>
          <w:sz w:val="28"/>
          <w:szCs w:val="28"/>
        </w:rPr>
        <w:tab/>
      </w:r>
      <w:r>
        <w:rPr>
          <w:rFonts w:hint="eastAsia" w:ascii="宋体" w:hAnsi="宋体"/>
          <w:sz w:val="28"/>
          <w:szCs w:val="28"/>
        </w:rPr>
        <w:t>佛山市装配式建筑与智能建造协会</w:t>
      </w:r>
    </w:p>
    <w:p>
      <w:pPr>
        <w:spacing w:line="580" w:lineRule="exact"/>
        <w:ind w:left="1960" w:firstLine="560" w:firstLineChars="200"/>
        <w:rPr>
          <w:rFonts w:ascii="宋体" w:hAnsi="宋体"/>
          <w:sz w:val="28"/>
          <w:szCs w:val="28"/>
        </w:rPr>
      </w:pPr>
      <w:r>
        <w:rPr>
          <w:rFonts w:hint="eastAsia" w:ascii="宋体" w:hAnsi="宋体"/>
          <w:sz w:val="28"/>
          <w:szCs w:val="28"/>
        </w:rPr>
        <w:t>广东博意建筑设计院有限公司</w:t>
      </w:r>
    </w:p>
    <w:p>
      <w:pPr>
        <w:spacing w:line="580" w:lineRule="exact"/>
        <w:ind w:left="1960" w:firstLine="560" w:firstLineChars="200"/>
        <w:rPr>
          <w:rFonts w:ascii="宋体" w:hAnsi="宋体"/>
          <w:sz w:val="28"/>
          <w:szCs w:val="28"/>
        </w:rPr>
      </w:pPr>
      <w:r>
        <w:rPr>
          <w:rFonts w:hint="eastAsia" w:ascii="宋体" w:hAnsi="宋体"/>
          <w:sz w:val="28"/>
          <w:szCs w:val="28"/>
        </w:rPr>
        <w:t>佛山市万科企业有限公司</w:t>
      </w:r>
    </w:p>
    <w:p>
      <w:pPr>
        <w:spacing w:line="580" w:lineRule="exact"/>
        <w:ind w:firstLine="560" w:firstLineChars="200"/>
        <w:rPr>
          <w:rFonts w:hint="default" w:ascii="宋体" w:hAnsi="宋体" w:eastAsia="宋体"/>
          <w:sz w:val="28"/>
          <w:szCs w:val="28"/>
          <w:lang w:val="en-US" w:eastAsia="zh-CN"/>
        </w:rPr>
      </w:pPr>
      <w:r>
        <w:rPr>
          <w:rFonts w:hint="eastAsia" w:ascii="宋体" w:hAnsi="宋体"/>
          <w:sz w:val="28"/>
          <w:szCs w:val="28"/>
        </w:rPr>
        <w:t>参编单位</w:t>
      </w:r>
      <w:r>
        <w:rPr>
          <w:rFonts w:ascii="宋体" w:hAnsi="宋体"/>
          <w:sz w:val="28"/>
          <w:szCs w:val="28"/>
        </w:rPr>
        <w:t>：</w:t>
      </w:r>
      <w:r>
        <w:rPr>
          <w:rFonts w:hint="eastAsia" w:ascii="宋体" w:hAnsi="宋体"/>
          <w:sz w:val="28"/>
          <w:szCs w:val="28"/>
        </w:rPr>
        <w:tab/>
      </w:r>
      <w:r>
        <w:rPr>
          <w:rFonts w:hint="eastAsia" w:ascii="宋体" w:hAnsi="宋体"/>
          <w:sz w:val="28"/>
          <w:szCs w:val="28"/>
        </w:rPr>
        <w:tab/>
      </w:r>
      <w:r>
        <w:rPr>
          <w:rFonts w:hint="eastAsia" w:ascii="宋体" w:hAnsi="宋体"/>
          <w:sz w:val="28"/>
          <w:szCs w:val="28"/>
        </w:rPr>
        <w:t>佛山建发绿色建材</w:t>
      </w:r>
      <w:r>
        <w:rPr>
          <w:rFonts w:hint="eastAsia" w:ascii="宋体" w:hAnsi="宋体"/>
          <w:sz w:val="28"/>
          <w:szCs w:val="28"/>
          <w:lang w:val="en-US" w:eastAsia="zh-CN"/>
        </w:rPr>
        <w:t>有限公司</w:t>
      </w:r>
    </w:p>
    <w:p>
      <w:pPr>
        <w:spacing w:line="580" w:lineRule="exact"/>
        <w:ind w:firstLine="560" w:firstLineChars="200"/>
        <w:rPr>
          <w:rFonts w:ascii="宋体" w:hAnsi="宋体"/>
          <w:sz w:val="28"/>
          <w:szCs w:val="28"/>
        </w:rPr>
      </w:pP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hint="eastAsia" w:ascii="宋体" w:hAnsi="宋体"/>
          <w:sz w:val="28"/>
          <w:szCs w:val="28"/>
        </w:rPr>
        <w:t>广东</w:t>
      </w:r>
      <w:r>
        <w:rPr>
          <w:rFonts w:ascii="宋体" w:hAnsi="宋体"/>
          <w:sz w:val="28"/>
          <w:szCs w:val="28"/>
        </w:rPr>
        <w:t>天元建筑设计有限公司（</w:t>
      </w:r>
      <w:r>
        <w:rPr>
          <w:rFonts w:hint="eastAsia" w:ascii="宋体" w:hAnsi="宋体"/>
          <w:sz w:val="28"/>
          <w:szCs w:val="28"/>
        </w:rPr>
        <w:t>睿住</w:t>
      </w:r>
      <w:r>
        <w:rPr>
          <w:rFonts w:ascii="宋体" w:hAnsi="宋体"/>
          <w:sz w:val="28"/>
          <w:szCs w:val="28"/>
        </w:rPr>
        <w:t>天元）</w:t>
      </w:r>
    </w:p>
    <w:p>
      <w:pPr>
        <w:spacing w:line="580" w:lineRule="exact"/>
        <w:ind w:firstLine="560" w:firstLineChars="200"/>
        <w:rPr>
          <w:rFonts w:ascii="宋体" w:hAnsi="宋体"/>
          <w:sz w:val="28"/>
          <w:szCs w:val="28"/>
        </w:rPr>
      </w:pP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hint="eastAsia" w:ascii="宋体" w:hAnsi="宋体"/>
          <w:sz w:val="28"/>
          <w:szCs w:val="28"/>
        </w:rPr>
        <w:t>保利华南实业有限公司</w:t>
      </w:r>
    </w:p>
    <w:p>
      <w:pPr>
        <w:spacing w:line="580" w:lineRule="exact"/>
        <w:ind w:firstLine="560" w:firstLineChars="200"/>
        <w:rPr>
          <w:rFonts w:ascii="宋体" w:hAnsi="宋体"/>
          <w:sz w:val="28"/>
          <w:szCs w:val="28"/>
        </w:rPr>
      </w:pP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hint="eastAsia" w:ascii="宋体" w:hAnsi="宋体"/>
          <w:sz w:val="28"/>
          <w:szCs w:val="28"/>
        </w:rPr>
        <w:t>广东引领装配式产业发展有限公司</w:t>
      </w:r>
    </w:p>
    <w:p>
      <w:pPr>
        <w:spacing w:line="580" w:lineRule="exact"/>
        <w:ind w:firstLine="560" w:firstLineChars="200"/>
        <w:rPr>
          <w:rFonts w:ascii="宋体" w:hAnsi="宋体"/>
          <w:sz w:val="28"/>
          <w:szCs w:val="28"/>
        </w:rPr>
      </w:pP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hint="eastAsia" w:ascii="宋体" w:hAnsi="宋体"/>
          <w:sz w:val="28"/>
          <w:szCs w:val="28"/>
        </w:rPr>
        <w:t>佛山市装配式建筑与智能建造协会内装分会</w:t>
      </w:r>
    </w:p>
    <w:p>
      <w:pPr>
        <w:spacing w:line="580" w:lineRule="exact"/>
        <w:ind w:firstLine="560" w:firstLineChars="200"/>
        <w:rPr>
          <w:rFonts w:ascii="宋体" w:hAnsi="宋体"/>
          <w:sz w:val="28"/>
          <w:szCs w:val="28"/>
        </w:rPr>
      </w:pP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hint="eastAsia" w:ascii="宋体" w:hAnsi="宋体"/>
          <w:sz w:val="28"/>
          <w:szCs w:val="28"/>
        </w:rPr>
        <w:t>广东睿住住工科技有限公司</w:t>
      </w:r>
    </w:p>
    <w:p>
      <w:pPr>
        <w:spacing w:line="580" w:lineRule="exact"/>
        <w:ind w:left="2520" w:hanging="1960"/>
        <w:rPr>
          <w:rFonts w:ascii="宋体" w:hAnsi="宋体"/>
          <w:sz w:val="28"/>
          <w:szCs w:val="28"/>
        </w:rPr>
      </w:pPr>
      <w:r>
        <w:rPr>
          <w:rFonts w:ascii="宋体" w:hAnsi="宋体"/>
          <w:sz w:val="28"/>
          <w:szCs w:val="28"/>
        </w:rPr>
        <w:t>主要起草人</w:t>
      </w:r>
      <w:r>
        <w:rPr>
          <w:rFonts w:hint="eastAsia" w:ascii="宋体" w:hAnsi="宋体"/>
          <w:sz w:val="28"/>
          <w:szCs w:val="28"/>
        </w:rPr>
        <w:t>：</w:t>
      </w:r>
      <w:r>
        <w:rPr>
          <w:rFonts w:ascii="宋体" w:hAnsi="宋体"/>
          <w:sz w:val="28"/>
          <w:szCs w:val="28"/>
        </w:rPr>
        <w:tab/>
      </w:r>
      <w:r>
        <w:rPr>
          <w:rFonts w:hint="eastAsia" w:ascii="宋体" w:hAnsi="宋体"/>
          <w:sz w:val="28"/>
          <w:szCs w:val="28"/>
        </w:rPr>
        <w:t>王保林  邓宝瑜  许文杰  孙  涛  黎加纯</w:t>
      </w:r>
    </w:p>
    <w:p>
      <w:pPr>
        <w:spacing w:line="580" w:lineRule="exact"/>
        <w:ind w:left="2520"/>
        <w:rPr>
          <w:rFonts w:ascii="宋体" w:hAnsi="宋体"/>
          <w:sz w:val="28"/>
          <w:szCs w:val="28"/>
        </w:rPr>
      </w:pPr>
      <w:r>
        <w:rPr>
          <w:rFonts w:hint="eastAsia" w:ascii="宋体" w:hAnsi="宋体"/>
          <w:sz w:val="28"/>
          <w:szCs w:val="28"/>
        </w:rPr>
        <w:t>黄  诚  刘岚迪  欧阳健  李  康  罗  丽</w:t>
      </w:r>
    </w:p>
    <w:p>
      <w:pPr>
        <w:spacing w:line="580" w:lineRule="exact"/>
        <w:ind w:left="2520"/>
        <w:rPr>
          <w:rFonts w:ascii="宋体" w:hAnsi="宋体"/>
          <w:sz w:val="28"/>
          <w:szCs w:val="28"/>
        </w:rPr>
      </w:pPr>
      <w:r>
        <w:rPr>
          <w:rFonts w:hint="eastAsia" w:ascii="宋体" w:hAnsi="宋体"/>
          <w:sz w:val="28"/>
          <w:szCs w:val="28"/>
        </w:rPr>
        <w:t xml:space="preserve">温沛纲  陈晓虹  段绍军  </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主要审查人</w:t>
      </w:r>
      <w:r>
        <w:rPr>
          <w:rFonts w:ascii="宋体" w:hAnsi="宋体"/>
          <w:sz w:val="28"/>
          <w:szCs w:val="28"/>
        </w:rPr>
        <w:t>：</w:t>
      </w:r>
      <w:r>
        <w:rPr>
          <w:rFonts w:hint="eastAsia" w:ascii="宋体" w:hAnsi="宋体"/>
          <w:sz w:val="28"/>
          <w:szCs w:val="28"/>
        </w:rPr>
        <w:t xml:space="preserve">  刘王生  吴燕婷  陈世昌  黄莉萍  江棹荣</w:t>
      </w:r>
    </w:p>
    <w:p>
      <w:pPr>
        <w:spacing w:line="580" w:lineRule="exact"/>
        <w:ind w:firstLine="560" w:firstLineChars="200"/>
        <w:rPr>
          <w:rFonts w:ascii="宋体" w:hAnsi="宋体"/>
          <w:sz w:val="28"/>
          <w:szCs w:val="28"/>
        </w:rPr>
      </w:pPr>
      <w:r>
        <w:rPr>
          <w:rFonts w:ascii="宋体" w:hAnsi="宋体"/>
          <w:sz w:val="28"/>
          <w:szCs w:val="28"/>
        </w:rPr>
        <w:t xml:space="preserve"> </w:t>
      </w:r>
    </w:p>
    <w:p>
      <w:pPr>
        <w:spacing w:line="580" w:lineRule="exact"/>
        <w:ind w:firstLine="2268" w:firstLineChars="810"/>
        <w:rPr>
          <w:rFonts w:ascii="宋体" w:hAnsi="宋体"/>
          <w:sz w:val="28"/>
          <w:szCs w:val="28"/>
        </w:rPr>
        <w:sectPr>
          <w:footerReference r:id="rId4" w:type="first"/>
          <w:footerReference r:id="rId3" w:type="default"/>
          <w:pgSz w:w="11906" w:h="16838"/>
          <w:pgMar w:top="1440" w:right="1800" w:bottom="1118" w:left="1800" w:header="851" w:footer="992" w:gutter="0"/>
          <w:pgNumType w:fmt="upperRoman" w:start="1"/>
          <w:cols w:space="720" w:num="1"/>
          <w:docGrid w:type="lines" w:linePitch="312" w:charSpace="0"/>
        </w:sectPr>
      </w:pPr>
    </w:p>
    <w:p>
      <w:pPr>
        <w:spacing w:after="312" w:afterLines="100" w:line="360" w:lineRule="auto"/>
        <w:jc w:val="center"/>
        <w:rPr>
          <w:rFonts w:ascii="宋体" w:hAnsi="宋体"/>
          <w:b/>
          <w:sz w:val="36"/>
          <w:szCs w:val="36"/>
        </w:rPr>
      </w:pPr>
      <w:r>
        <w:rPr>
          <w:rFonts w:hint="eastAsia" w:ascii="宋体" w:hAnsi="宋体"/>
          <w:b/>
          <w:sz w:val="36"/>
          <w:szCs w:val="36"/>
        </w:rPr>
        <w:t xml:space="preserve">目 </w:t>
      </w:r>
      <w:r>
        <w:rPr>
          <w:rFonts w:ascii="宋体" w:hAnsi="宋体"/>
          <w:b/>
          <w:sz w:val="36"/>
          <w:szCs w:val="36"/>
        </w:rPr>
        <w:t xml:space="preserve"> </w:t>
      </w:r>
      <w:r>
        <w:rPr>
          <w:rFonts w:hint="eastAsia" w:ascii="宋体" w:hAnsi="宋体"/>
          <w:b/>
          <w:sz w:val="36"/>
          <w:szCs w:val="36"/>
        </w:rPr>
        <w:t>次</w:t>
      </w:r>
    </w:p>
    <w:p>
      <w:pPr>
        <w:pStyle w:val="11"/>
        <w:tabs>
          <w:tab w:val="left" w:pos="420"/>
          <w:tab w:val="right" w:leader="dot" w:pos="8296"/>
        </w:tabs>
        <w:rPr>
          <w:rFonts w:ascii="宋体" w:hAnsi="宋体" w:cstheme="minorBidi"/>
          <w:sz w:val="28"/>
          <w:szCs w:val="28"/>
        </w:rPr>
      </w:pPr>
      <w:bookmarkStart w:id="1" w:name="_Hlk17470676"/>
      <w:r>
        <w:rPr>
          <w:rFonts w:ascii="宋体" w:hAnsi="宋体"/>
          <w:sz w:val="28"/>
          <w:szCs w:val="28"/>
        </w:rPr>
        <w:fldChar w:fldCharType="begin"/>
      </w:r>
      <w:r>
        <w:rPr>
          <w:rFonts w:ascii="宋体" w:hAnsi="宋体"/>
          <w:sz w:val="28"/>
          <w:szCs w:val="28"/>
        </w:rPr>
        <w:instrText xml:space="preserve"> TOC \o "1-2" \h \z \u </w:instrText>
      </w:r>
      <w:r>
        <w:rPr>
          <w:rFonts w:ascii="宋体" w:hAnsi="宋体"/>
          <w:sz w:val="28"/>
          <w:szCs w:val="28"/>
        </w:rPr>
        <w:fldChar w:fldCharType="separate"/>
      </w:r>
      <w:r>
        <w:fldChar w:fldCharType="begin"/>
      </w:r>
      <w:r>
        <w:instrText xml:space="preserve"> HYPERLINK \l "_Toc133412688" </w:instrText>
      </w:r>
      <w:r>
        <w:fldChar w:fldCharType="separate"/>
      </w:r>
      <w:r>
        <w:rPr>
          <w:rStyle w:val="20"/>
          <w:rFonts w:ascii="宋体" w:hAnsi="宋体"/>
          <w:color w:val="auto"/>
          <w:sz w:val="28"/>
          <w:szCs w:val="28"/>
        </w:rPr>
        <w:t>1</w:t>
      </w:r>
      <w:r>
        <w:rPr>
          <w:rFonts w:ascii="宋体" w:hAnsi="宋体" w:cstheme="minorBidi"/>
          <w:sz w:val="28"/>
          <w:szCs w:val="28"/>
        </w:rPr>
        <w:tab/>
      </w:r>
      <w:r>
        <w:rPr>
          <w:rStyle w:val="20"/>
          <w:rFonts w:ascii="宋体" w:hAnsi="宋体"/>
          <w:color w:val="auto"/>
          <w:sz w:val="28"/>
          <w:szCs w:val="28"/>
        </w:rPr>
        <w:t>总  则</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_Toc133412688 \h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fldChar w:fldCharType="end"/>
      </w:r>
    </w:p>
    <w:p>
      <w:pPr>
        <w:pStyle w:val="11"/>
        <w:tabs>
          <w:tab w:val="left" w:pos="420"/>
          <w:tab w:val="right" w:leader="dot" w:pos="8296"/>
        </w:tabs>
        <w:rPr>
          <w:rFonts w:ascii="宋体" w:hAnsi="宋体" w:cstheme="minorBidi"/>
          <w:sz w:val="28"/>
          <w:szCs w:val="28"/>
        </w:rPr>
      </w:pPr>
      <w:r>
        <w:fldChar w:fldCharType="begin"/>
      </w:r>
      <w:r>
        <w:instrText xml:space="preserve"> HYPERLINK \l "_Toc133412689" </w:instrText>
      </w:r>
      <w:r>
        <w:fldChar w:fldCharType="separate"/>
      </w:r>
      <w:r>
        <w:rPr>
          <w:rStyle w:val="20"/>
          <w:rFonts w:ascii="宋体" w:hAnsi="宋体"/>
          <w:color w:val="auto"/>
          <w:sz w:val="28"/>
          <w:szCs w:val="28"/>
        </w:rPr>
        <w:t>2</w:t>
      </w:r>
      <w:r>
        <w:rPr>
          <w:rFonts w:ascii="宋体" w:hAnsi="宋体" w:cstheme="minorBidi"/>
          <w:sz w:val="28"/>
          <w:szCs w:val="28"/>
        </w:rPr>
        <w:tab/>
      </w:r>
      <w:r>
        <w:rPr>
          <w:rStyle w:val="20"/>
          <w:rFonts w:ascii="宋体" w:hAnsi="宋体"/>
          <w:color w:val="auto"/>
          <w:sz w:val="28"/>
          <w:szCs w:val="28"/>
        </w:rPr>
        <w:t>术  语</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_Toc133412689 \h </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ascii="宋体" w:hAnsi="宋体"/>
          <w:sz w:val="28"/>
          <w:szCs w:val="28"/>
        </w:rPr>
        <w:fldChar w:fldCharType="end"/>
      </w:r>
    </w:p>
    <w:p>
      <w:pPr>
        <w:pStyle w:val="11"/>
        <w:tabs>
          <w:tab w:val="left" w:pos="420"/>
          <w:tab w:val="right" w:leader="dot" w:pos="8296"/>
        </w:tabs>
        <w:rPr>
          <w:rFonts w:ascii="宋体" w:hAnsi="宋体" w:cstheme="minorBidi"/>
          <w:sz w:val="28"/>
          <w:szCs w:val="28"/>
        </w:rPr>
      </w:pPr>
      <w:r>
        <w:fldChar w:fldCharType="begin"/>
      </w:r>
      <w:r>
        <w:instrText xml:space="preserve"> HYPERLINK \l "_Toc133412690" </w:instrText>
      </w:r>
      <w:r>
        <w:fldChar w:fldCharType="separate"/>
      </w:r>
      <w:r>
        <w:rPr>
          <w:rStyle w:val="20"/>
          <w:rFonts w:ascii="宋体" w:hAnsi="宋体"/>
          <w:color w:val="auto"/>
          <w:sz w:val="28"/>
          <w:szCs w:val="28"/>
        </w:rPr>
        <w:t>3</w:t>
      </w:r>
      <w:r>
        <w:rPr>
          <w:rFonts w:ascii="宋体" w:hAnsi="宋体" w:cstheme="minorBidi"/>
          <w:sz w:val="28"/>
          <w:szCs w:val="28"/>
        </w:rPr>
        <w:tab/>
      </w:r>
      <w:r>
        <w:rPr>
          <w:rStyle w:val="20"/>
          <w:rFonts w:ascii="宋体" w:hAnsi="宋体"/>
          <w:color w:val="auto"/>
          <w:sz w:val="28"/>
          <w:szCs w:val="28"/>
        </w:rPr>
        <w:t>基 本 规 定</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_Toc133412690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pStyle w:val="11"/>
        <w:tabs>
          <w:tab w:val="left" w:pos="420"/>
          <w:tab w:val="right" w:leader="dot" w:pos="8296"/>
        </w:tabs>
        <w:rPr>
          <w:rFonts w:ascii="宋体" w:hAnsi="宋体" w:cstheme="minorBidi"/>
          <w:sz w:val="28"/>
          <w:szCs w:val="28"/>
        </w:rPr>
      </w:pPr>
      <w:r>
        <w:fldChar w:fldCharType="begin"/>
      </w:r>
      <w:r>
        <w:instrText xml:space="preserve"> HYPERLINK \l "_Toc133412691" </w:instrText>
      </w:r>
      <w:r>
        <w:fldChar w:fldCharType="separate"/>
      </w:r>
      <w:r>
        <w:rPr>
          <w:rStyle w:val="20"/>
          <w:rFonts w:ascii="宋体" w:hAnsi="宋体"/>
          <w:color w:val="auto"/>
          <w:sz w:val="28"/>
          <w:szCs w:val="28"/>
        </w:rPr>
        <w:t>4</w:t>
      </w:r>
      <w:r>
        <w:rPr>
          <w:rFonts w:ascii="宋体" w:hAnsi="宋体" w:cstheme="minorBidi"/>
          <w:sz w:val="28"/>
          <w:szCs w:val="28"/>
        </w:rPr>
        <w:tab/>
      </w:r>
      <w:r>
        <w:rPr>
          <w:rStyle w:val="20"/>
          <w:rFonts w:ascii="宋体" w:hAnsi="宋体"/>
          <w:color w:val="auto"/>
          <w:sz w:val="28"/>
          <w:szCs w:val="28"/>
        </w:rPr>
        <w:t>装配率计算</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_Toc133412691 \h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ascii="宋体" w:hAnsi="宋体"/>
          <w:sz w:val="28"/>
          <w:szCs w:val="28"/>
        </w:rPr>
        <w:fldChar w:fldCharType="end"/>
      </w:r>
    </w:p>
    <w:p>
      <w:pPr>
        <w:pStyle w:val="12"/>
        <w:tabs>
          <w:tab w:val="right" w:leader="dot" w:pos="8296"/>
        </w:tabs>
        <w:rPr>
          <w:rFonts w:ascii="宋体" w:hAnsi="宋体" w:cstheme="minorBidi"/>
          <w:sz w:val="28"/>
          <w:szCs w:val="28"/>
        </w:rPr>
      </w:pPr>
      <w:r>
        <w:fldChar w:fldCharType="begin"/>
      </w:r>
      <w:r>
        <w:instrText xml:space="preserve"> HYPERLINK \l "_Toc133412692" </w:instrText>
      </w:r>
      <w:r>
        <w:fldChar w:fldCharType="separate"/>
      </w:r>
      <w:r>
        <w:rPr>
          <w:rStyle w:val="20"/>
          <w:rFonts w:ascii="宋体" w:hAnsi="宋体"/>
          <w:color w:val="auto"/>
          <w:sz w:val="28"/>
          <w:szCs w:val="28"/>
        </w:rPr>
        <w:t>4.1 计算公式与评分表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_Toc133412692 \h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ascii="宋体" w:hAnsi="宋体"/>
          <w:sz w:val="28"/>
          <w:szCs w:val="28"/>
        </w:rPr>
        <w:fldChar w:fldCharType="end"/>
      </w:r>
    </w:p>
    <w:p>
      <w:pPr>
        <w:pStyle w:val="12"/>
        <w:tabs>
          <w:tab w:val="right" w:leader="dot" w:pos="8296"/>
        </w:tabs>
        <w:rPr>
          <w:rFonts w:ascii="宋体" w:hAnsi="宋体" w:cstheme="minorBidi"/>
          <w:sz w:val="28"/>
          <w:szCs w:val="28"/>
        </w:rPr>
      </w:pPr>
      <w:r>
        <w:fldChar w:fldCharType="begin"/>
      </w:r>
      <w:r>
        <w:instrText xml:space="preserve"> HYPERLINK \l "_Toc133412693" </w:instrText>
      </w:r>
      <w:r>
        <w:fldChar w:fldCharType="separate"/>
      </w:r>
      <w:r>
        <w:rPr>
          <w:rStyle w:val="20"/>
          <w:rFonts w:ascii="宋体" w:hAnsi="宋体"/>
          <w:color w:val="auto"/>
          <w:sz w:val="28"/>
          <w:szCs w:val="28"/>
        </w:rPr>
        <w:t>4.2 主体结构</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_Toc133412693 \h </w:instrText>
      </w:r>
      <w:r>
        <w:rPr>
          <w:rFonts w:ascii="宋体" w:hAnsi="宋体"/>
          <w:sz w:val="28"/>
          <w:szCs w:val="28"/>
        </w:rPr>
        <w:fldChar w:fldCharType="separate"/>
      </w:r>
      <w:r>
        <w:rPr>
          <w:rFonts w:ascii="宋体" w:hAnsi="宋体"/>
          <w:sz w:val="28"/>
          <w:szCs w:val="28"/>
        </w:rPr>
        <w:t>7</w:t>
      </w:r>
      <w:r>
        <w:rPr>
          <w:rFonts w:ascii="宋体" w:hAnsi="宋体"/>
          <w:sz w:val="28"/>
          <w:szCs w:val="28"/>
        </w:rPr>
        <w:fldChar w:fldCharType="end"/>
      </w:r>
      <w:r>
        <w:rPr>
          <w:rFonts w:ascii="宋体" w:hAnsi="宋体"/>
          <w:sz w:val="28"/>
          <w:szCs w:val="28"/>
        </w:rPr>
        <w:fldChar w:fldCharType="end"/>
      </w:r>
    </w:p>
    <w:p>
      <w:pPr>
        <w:pStyle w:val="12"/>
        <w:tabs>
          <w:tab w:val="right" w:leader="dot" w:pos="8296"/>
        </w:tabs>
        <w:rPr>
          <w:rFonts w:ascii="宋体" w:hAnsi="宋体" w:cstheme="minorBidi"/>
          <w:sz w:val="28"/>
          <w:szCs w:val="28"/>
        </w:rPr>
      </w:pPr>
      <w:r>
        <w:fldChar w:fldCharType="begin"/>
      </w:r>
      <w:r>
        <w:instrText xml:space="preserve"> HYPERLINK \l "_Toc133412694" </w:instrText>
      </w:r>
      <w:r>
        <w:fldChar w:fldCharType="separate"/>
      </w:r>
      <w:r>
        <w:rPr>
          <w:rStyle w:val="20"/>
          <w:rFonts w:ascii="宋体" w:hAnsi="宋体"/>
          <w:color w:val="auto"/>
          <w:sz w:val="28"/>
          <w:szCs w:val="28"/>
        </w:rPr>
        <w:t>4.3 围护墙和内隔墙</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_Toc133412694 \h </w:instrText>
      </w:r>
      <w:r>
        <w:rPr>
          <w:rFonts w:ascii="宋体" w:hAnsi="宋体"/>
          <w:sz w:val="28"/>
          <w:szCs w:val="28"/>
        </w:rPr>
        <w:fldChar w:fldCharType="separate"/>
      </w:r>
      <w:r>
        <w:rPr>
          <w:rFonts w:ascii="宋体" w:hAnsi="宋体"/>
          <w:sz w:val="28"/>
          <w:szCs w:val="28"/>
        </w:rPr>
        <w:t>9</w:t>
      </w:r>
      <w:r>
        <w:rPr>
          <w:rFonts w:ascii="宋体" w:hAnsi="宋体"/>
          <w:sz w:val="28"/>
          <w:szCs w:val="28"/>
        </w:rPr>
        <w:fldChar w:fldCharType="end"/>
      </w:r>
      <w:r>
        <w:rPr>
          <w:rFonts w:ascii="宋体" w:hAnsi="宋体"/>
          <w:sz w:val="28"/>
          <w:szCs w:val="28"/>
        </w:rPr>
        <w:fldChar w:fldCharType="end"/>
      </w:r>
    </w:p>
    <w:p>
      <w:pPr>
        <w:pStyle w:val="12"/>
        <w:tabs>
          <w:tab w:val="right" w:leader="dot" w:pos="8296"/>
        </w:tabs>
        <w:rPr>
          <w:rFonts w:ascii="宋体" w:hAnsi="宋体" w:cstheme="minorBidi"/>
          <w:sz w:val="28"/>
          <w:szCs w:val="28"/>
        </w:rPr>
      </w:pPr>
      <w:r>
        <w:fldChar w:fldCharType="begin"/>
      </w:r>
      <w:r>
        <w:instrText xml:space="preserve"> HYPERLINK \l "_Toc133412695" </w:instrText>
      </w:r>
      <w:r>
        <w:fldChar w:fldCharType="separate"/>
      </w:r>
      <w:r>
        <w:rPr>
          <w:rStyle w:val="20"/>
          <w:rFonts w:ascii="宋体" w:hAnsi="宋体"/>
          <w:color w:val="auto"/>
          <w:sz w:val="28"/>
          <w:szCs w:val="28"/>
        </w:rPr>
        <w:t>4.4 装修和设备管线</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_Toc133412695 \h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fldChar w:fldCharType="end"/>
      </w:r>
    </w:p>
    <w:p>
      <w:pPr>
        <w:pStyle w:val="12"/>
        <w:tabs>
          <w:tab w:val="right" w:leader="dot" w:pos="8296"/>
        </w:tabs>
        <w:rPr>
          <w:rFonts w:ascii="宋体" w:hAnsi="宋体" w:cstheme="minorBidi"/>
          <w:sz w:val="28"/>
          <w:szCs w:val="28"/>
        </w:rPr>
      </w:pPr>
      <w:r>
        <w:fldChar w:fldCharType="begin"/>
      </w:r>
      <w:r>
        <w:instrText xml:space="preserve"> HYPERLINK \l "_Toc133412696" </w:instrText>
      </w:r>
      <w:r>
        <w:fldChar w:fldCharType="separate"/>
      </w:r>
      <w:r>
        <w:rPr>
          <w:rStyle w:val="20"/>
          <w:rFonts w:ascii="宋体" w:hAnsi="宋体"/>
          <w:color w:val="auto"/>
          <w:sz w:val="28"/>
          <w:szCs w:val="28"/>
        </w:rPr>
        <w:t>4.5 细化项</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_Toc133412696 \h </w:instrText>
      </w:r>
      <w:r>
        <w:rPr>
          <w:rFonts w:ascii="宋体" w:hAnsi="宋体"/>
          <w:sz w:val="28"/>
          <w:szCs w:val="28"/>
        </w:rPr>
        <w:fldChar w:fldCharType="separate"/>
      </w:r>
      <w:r>
        <w:rPr>
          <w:rFonts w:ascii="宋体" w:hAnsi="宋体"/>
          <w:sz w:val="28"/>
          <w:szCs w:val="28"/>
        </w:rPr>
        <w:t>15</w:t>
      </w:r>
      <w:r>
        <w:rPr>
          <w:rFonts w:ascii="宋体" w:hAnsi="宋体"/>
          <w:sz w:val="28"/>
          <w:szCs w:val="28"/>
        </w:rPr>
        <w:fldChar w:fldCharType="end"/>
      </w:r>
      <w:r>
        <w:rPr>
          <w:rFonts w:ascii="宋体" w:hAnsi="宋体"/>
          <w:sz w:val="28"/>
          <w:szCs w:val="28"/>
        </w:rPr>
        <w:fldChar w:fldCharType="end"/>
      </w:r>
    </w:p>
    <w:p>
      <w:pPr>
        <w:pStyle w:val="12"/>
        <w:tabs>
          <w:tab w:val="right" w:leader="dot" w:pos="8296"/>
        </w:tabs>
        <w:rPr>
          <w:rFonts w:ascii="宋体" w:hAnsi="宋体" w:cstheme="minorBidi"/>
          <w:sz w:val="28"/>
          <w:szCs w:val="28"/>
        </w:rPr>
      </w:pPr>
      <w:r>
        <w:fldChar w:fldCharType="begin"/>
      </w:r>
      <w:r>
        <w:instrText xml:space="preserve"> HYPERLINK \l "_Toc133412697" </w:instrText>
      </w:r>
      <w:r>
        <w:fldChar w:fldCharType="separate"/>
      </w:r>
      <w:r>
        <w:rPr>
          <w:rStyle w:val="20"/>
          <w:rFonts w:ascii="宋体" w:hAnsi="宋体"/>
          <w:color w:val="auto"/>
          <w:sz w:val="28"/>
          <w:szCs w:val="28"/>
        </w:rPr>
        <w:t>4.6 鼓励项</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_Toc133412697 \h </w:instrText>
      </w:r>
      <w:r>
        <w:rPr>
          <w:rFonts w:ascii="宋体" w:hAnsi="宋体"/>
          <w:sz w:val="28"/>
          <w:szCs w:val="28"/>
        </w:rPr>
        <w:fldChar w:fldCharType="separate"/>
      </w:r>
      <w:r>
        <w:rPr>
          <w:rFonts w:ascii="宋体" w:hAnsi="宋体"/>
          <w:sz w:val="28"/>
          <w:szCs w:val="28"/>
        </w:rPr>
        <w:t>16</w:t>
      </w:r>
      <w:r>
        <w:rPr>
          <w:rFonts w:ascii="宋体" w:hAnsi="宋体"/>
          <w:sz w:val="28"/>
          <w:szCs w:val="28"/>
        </w:rPr>
        <w:fldChar w:fldCharType="end"/>
      </w:r>
      <w:r>
        <w:rPr>
          <w:rFonts w:ascii="宋体" w:hAnsi="宋体"/>
          <w:sz w:val="28"/>
          <w:szCs w:val="28"/>
        </w:rPr>
        <w:fldChar w:fldCharType="end"/>
      </w:r>
    </w:p>
    <w:p>
      <w:pPr>
        <w:pStyle w:val="11"/>
        <w:tabs>
          <w:tab w:val="left" w:pos="420"/>
          <w:tab w:val="right" w:leader="dot" w:pos="8296"/>
        </w:tabs>
        <w:rPr>
          <w:rFonts w:ascii="宋体" w:hAnsi="宋体" w:cstheme="minorBidi"/>
          <w:sz w:val="28"/>
          <w:szCs w:val="28"/>
        </w:rPr>
      </w:pPr>
      <w:r>
        <w:fldChar w:fldCharType="begin"/>
      </w:r>
      <w:r>
        <w:instrText xml:space="preserve"> HYPERLINK \l "_Toc133412698" </w:instrText>
      </w:r>
      <w:r>
        <w:fldChar w:fldCharType="separate"/>
      </w:r>
      <w:r>
        <w:rPr>
          <w:rStyle w:val="20"/>
          <w:rFonts w:ascii="宋体" w:hAnsi="宋体"/>
          <w:color w:val="auto"/>
          <w:sz w:val="28"/>
          <w:szCs w:val="28"/>
        </w:rPr>
        <w:t>5</w:t>
      </w:r>
      <w:r>
        <w:rPr>
          <w:rFonts w:ascii="宋体" w:hAnsi="宋体" w:cstheme="minorBidi"/>
          <w:sz w:val="28"/>
          <w:szCs w:val="28"/>
        </w:rPr>
        <w:tab/>
      </w:r>
      <w:r>
        <w:rPr>
          <w:rStyle w:val="20"/>
          <w:rFonts w:ascii="宋体" w:hAnsi="宋体"/>
          <w:color w:val="auto"/>
          <w:sz w:val="28"/>
          <w:szCs w:val="28"/>
        </w:rPr>
        <w:t>评价等级划分</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_Toc133412698 \h </w:instrText>
      </w:r>
      <w:r>
        <w:rPr>
          <w:rFonts w:ascii="宋体" w:hAnsi="宋体"/>
          <w:sz w:val="28"/>
          <w:szCs w:val="28"/>
        </w:rPr>
        <w:fldChar w:fldCharType="separate"/>
      </w:r>
      <w:r>
        <w:rPr>
          <w:rFonts w:ascii="宋体" w:hAnsi="宋体"/>
          <w:sz w:val="28"/>
          <w:szCs w:val="28"/>
        </w:rPr>
        <w:t>20</w:t>
      </w:r>
      <w:r>
        <w:rPr>
          <w:rFonts w:ascii="宋体" w:hAnsi="宋体"/>
          <w:sz w:val="28"/>
          <w:szCs w:val="28"/>
        </w:rPr>
        <w:fldChar w:fldCharType="end"/>
      </w:r>
      <w:r>
        <w:rPr>
          <w:rFonts w:ascii="宋体" w:hAnsi="宋体"/>
          <w:sz w:val="28"/>
          <w:szCs w:val="28"/>
        </w:rPr>
        <w:fldChar w:fldCharType="end"/>
      </w:r>
    </w:p>
    <w:p>
      <w:pPr>
        <w:pStyle w:val="11"/>
        <w:tabs>
          <w:tab w:val="right" w:leader="dot" w:pos="8296"/>
        </w:tabs>
        <w:rPr>
          <w:rFonts w:ascii="宋体" w:hAnsi="宋体" w:cstheme="minorBidi"/>
          <w:sz w:val="28"/>
          <w:szCs w:val="28"/>
        </w:rPr>
      </w:pPr>
      <w:r>
        <w:fldChar w:fldCharType="begin"/>
      </w:r>
      <w:r>
        <w:instrText xml:space="preserve"> HYPERLINK \l "_Toc133412699" </w:instrText>
      </w:r>
      <w:r>
        <w:fldChar w:fldCharType="separate"/>
      </w:r>
      <w:r>
        <w:rPr>
          <w:rStyle w:val="20"/>
          <w:rFonts w:ascii="宋体" w:hAnsi="宋体"/>
          <w:color w:val="auto"/>
          <w:sz w:val="28"/>
          <w:szCs w:val="28"/>
        </w:rPr>
        <w:t>用词说明</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_Toc133412699 \h </w:instrText>
      </w:r>
      <w:r>
        <w:rPr>
          <w:rFonts w:ascii="宋体" w:hAnsi="宋体"/>
          <w:sz w:val="28"/>
          <w:szCs w:val="28"/>
        </w:rPr>
        <w:fldChar w:fldCharType="separate"/>
      </w:r>
      <w:r>
        <w:rPr>
          <w:rFonts w:ascii="宋体" w:hAnsi="宋体"/>
          <w:sz w:val="28"/>
          <w:szCs w:val="28"/>
        </w:rPr>
        <w:t>21</w:t>
      </w:r>
      <w:r>
        <w:rPr>
          <w:rFonts w:ascii="宋体" w:hAnsi="宋体"/>
          <w:sz w:val="28"/>
          <w:szCs w:val="28"/>
        </w:rPr>
        <w:fldChar w:fldCharType="end"/>
      </w:r>
      <w:r>
        <w:rPr>
          <w:rFonts w:ascii="宋体" w:hAnsi="宋体"/>
          <w:sz w:val="28"/>
          <w:szCs w:val="28"/>
        </w:rP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"_Toc133412700" </w:instrText>
      </w:r>
      <w:r>
        <w:fldChar w:fldCharType="separate"/>
      </w:r>
      <w:r>
        <w:rPr>
          <w:rStyle w:val="20"/>
          <w:rFonts w:ascii="宋体" w:hAnsi="宋体"/>
          <w:color w:val="auto"/>
          <w:sz w:val="28"/>
          <w:szCs w:val="28"/>
        </w:rPr>
        <w:t>引用标准名录</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_Toc133412700 \h </w:instrText>
      </w:r>
      <w:r>
        <w:rPr>
          <w:rFonts w:ascii="宋体" w:hAnsi="宋体"/>
          <w:sz w:val="28"/>
          <w:szCs w:val="28"/>
        </w:rPr>
        <w:fldChar w:fldCharType="separate"/>
      </w:r>
      <w:r>
        <w:rPr>
          <w:rFonts w:ascii="宋体" w:hAnsi="宋体"/>
          <w:sz w:val="28"/>
          <w:szCs w:val="28"/>
        </w:rPr>
        <w:t>22</w:t>
      </w:r>
      <w:r>
        <w:rPr>
          <w:rFonts w:ascii="宋体" w:hAnsi="宋体"/>
          <w:sz w:val="28"/>
          <w:szCs w:val="28"/>
        </w:rPr>
        <w:fldChar w:fldCharType="end"/>
      </w:r>
      <w:r>
        <w:rPr>
          <w:rFonts w:ascii="宋体" w:hAnsi="宋体"/>
          <w:sz w:val="28"/>
          <w:szCs w:val="28"/>
        </w:rPr>
        <w:fldChar w:fldCharType="end"/>
      </w:r>
    </w:p>
    <w:p>
      <w:pPr>
        <w:pStyle w:val="29"/>
        <w:rPr>
          <w:rFonts w:ascii="宋体" w:hAnsi="宋体"/>
        </w:rPr>
      </w:pPr>
      <w:r>
        <w:rPr>
          <w:rFonts w:ascii="宋体" w:hAnsi="宋体"/>
        </w:rPr>
        <w:fldChar w:fldCharType="end"/>
      </w:r>
      <w:bookmarkEnd w:id="1"/>
    </w:p>
    <w:p>
      <w:pPr>
        <w:rPr>
          <w:rFonts w:ascii="宋体" w:hAnsi="宋体"/>
          <w:sz w:val="28"/>
          <w:szCs w:val="28"/>
        </w:rPr>
      </w:pPr>
    </w:p>
    <w:p>
      <w:pPr>
        <w:rPr>
          <w:rFonts w:ascii="宋体" w:hAnsi="宋体"/>
          <w:sz w:val="28"/>
          <w:szCs w:val="28"/>
        </w:rPr>
        <w:sectPr>
          <w:pgSz w:w="11906" w:h="16838"/>
          <w:pgMar w:top="1440" w:right="1800" w:bottom="1118" w:left="1800" w:header="851" w:footer="992" w:gutter="0"/>
          <w:pgNumType w:fmt="upperRoman"/>
          <w:cols w:space="720" w:num="1"/>
          <w:docGrid w:type="lines" w:linePitch="312" w:charSpace="0"/>
        </w:sectPr>
      </w:pPr>
    </w:p>
    <w:p>
      <w:pPr>
        <w:pStyle w:val="2"/>
        <w:spacing w:after="312"/>
        <w:rPr>
          <w:rFonts w:ascii="宋体" w:hAnsi="宋体"/>
          <w:szCs w:val="36"/>
        </w:rPr>
      </w:pPr>
      <w:bookmarkStart w:id="2" w:name="_Toc133412688"/>
      <w:r>
        <w:rPr>
          <w:rFonts w:hint="eastAsia" w:ascii="宋体" w:hAnsi="宋体"/>
          <w:szCs w:val="36"/>
        </w:rPr>
        <w:t>1</w:t>
      </w:r>
      <w:r>
        <w:rPr>
          <w:rFonts w:ascii="宋体" w:hAnsi="宋体"/>
          <w:szCs w:val="36"/>
        </w:rPr>
        <w:tab/>
      </w:r>
      <w:r>
        <w:rPr>
          <w:rFonts w:hint="eastAsia" w:ascii="宋体" w:hAnsi="宋体"/>
          <w:szCs w:val="36"/>
        </w:rPr>
        <w:t>总</w:t>
      </w:r>
      <w:r>
        <w:rPr>
          <w:rFonts w:ascii="宋体" w:hAnsi="宋体"/>
          <w:szCs w:val="36"/>
        </w:rPr>
        <w:t xml:space="preserve">  </w:t>
      </w:r>
      <w:r>
        <w:rPr>
          <w:rFonts w:hint="eastAsia" w:ascii="宋体" w:hAnsi="宋体"/>
          <w:szCs w:val="36"/>
        </w:rPr>
        <w:t>则</w:t>
      </w:r>
      <w:bookmarkEnd w:id="2"/>
    </w:p>
    <w:p>
      <w:pPr>
        <w:pStyle w:val="24"/>
        <w:rPr>
          <w:rFonts w:ascii="宋体" w:hAnsi="宋体"/>
        </w:rPr>
      </w:pPr>
      <w:r>
        <w:rPr>
          <w:rFonts w:hint="eastAsia" w:ascii="宋体" w:hAnsi="宋体"/>
          <w:b/>
        </w:rPr>
        <w:t>1</w:t>
      </w:r>
      <w:r>
        <w:rPr>
          <w:rFonts w:ascii="宋体" w:hAnsi="宋体"/>
          <w:b/>
        </w:rPr>
        <w:t>.0.1</w:t>
      </w:r>
      <w:r>
        <w:rPr>
          <w:rFonts w:ascii="宋体" w:hAnsi="宋体"/>
        </w:rPr>
        <w:tab/>
      </w:r>
      <w:r>
        <w:rPr>
          <w:rFonts w:hint="eastAsia" w:ascii="宋体" w:hAnsi="宋体"/>
        </w:rPr>
        <w:t>为促进佛山市装配式建筑发展，结合佛山市地方特色及实际情况，规范对装配式建筑的评价工作，制定本指引。</w:t>
      </w:r>
    </w:p>
    <w:p>
      <w:pPr>
        <w:pStyle w:val="24"/>
        <w:rPr>
          <w:rFonts w:ascii="宋体" w:hAnsi="宋体"/>
          <w:b/>
        </w:rPr>
      </w:pPr>
      <w:r>
        <w:rPr>
          <w:rFonts w:hint="eastAsia" w:ascii="宋体" w:hAnsi="宋体"/>
          <w:b/>
        </w:rPr>
        <w:t>1.0.2</w:t>
      </w:r>
      <w:r>
        <w:rPr>
          <w:rFonts w:ascii="宋体" w:hAnsi="宋体"/>
          <w:b/>
        </w:rPr>
        <w:t xml:space="preserve"> </w:t>
      </w:r>
      <w:r>
        <w:rPr>
          <w:rFonts w:hint="eastAsia" w:ascii="宋体" w:hAnsi="宋体"/>
        </w:rPr>
        <w:t>本指引</w:t>
      </w:r>
      <w:r>
        <w:rPr>
          <w:rFonts w:ascii="宋体" w:hAnsi="宋体"/>
        </w:rPr>
        <w:t>旨在</w:t>
      </w:r>
      <w:r>
        <w:rPr>
          <w:rFonts w:hint="eastAsia" w:ascii="宋体" w:hAnsi="宋体"/>
        </w:rPr>
        <w:t>发挥</w:t>
      </w:r>
      <w:r>
        <w:rPr>
          <w:rFonts w:ascii="宋体" w:hAnsi="宋体"/>
        </w:rPr>
        <w:t>佛山市产业优势，</w:t>
      </w:r>
      <w:r>
        <w:rPr>
          <w:rFonts w:hint="eastAsia" w:ascii="宋体" w:hAnsi="宋体"/>
        </w:rPr>
        <w:t>推动部品部件标准化、装修集成化、鼓励</w:t>
      </w:r>
      <w:r>
        <w:rPr>
          <w:rFonts w:ascii="宋体" w:hAnsi="宋体"/>
        </w:rPr>
        <w:t>绿色建材</w:t>
      </w:r>
      <w:r>
        <w:rPr>
          <w:rFonts w:hint="eastAsia" w:ascii="宋体" w:hAnsi="宋体"/>
        </w:rPr>
        <w:t>使用、发展智能建造技术，促进新型建筑工业化各方面平衡发展，提高</w:t>
      </w:r>
      <w:r>
        <w:rPr>
          <w:rFonts w:ascii="宋体" w:hAnsi="宋体"/>
        </w:rPr>
        <w:t>装配式建筑品质。</w:t>
      </w:r>
    </w:p>
    <w:p>
      <w:pPr>
        <w:pStyle w:val="24"/>
        <w:rPr>
          <w:rFonts w:ascii="宋体" w:hAnsi="宋体"/>
        </w:rPr>
      </w:pPr>
      <w:r>
        <w:rPr>
          <w:rFonts w:hint="eastAsia" w:ascii="宋体" w:hAnsi="宋体"/>
          <w:b/>
        </w:rPr>
        <w:t>1</w:t>
      </w:r>
      <w:r>
        <w:rPr>
          <w:rFonts w:ascii="宋体" w:hAnsi="宋体"/>
          <w:b/>
        </w:rPr>
        <w:t>.0.3</w:t>
      </w:r>
      <w:r>
        <w:rPr>
          <w:rFonts w:ascii="宋体" w:hAnsi="宋体"/>
        </w:rPr>
        <w:tab/>
      </w:r>
      <w:r>
        <w:rPr>
          <w:rFonts w:hint="eastAsia" w:ascii="宋体" w:hAnsi="宋体"/>
        </w:rPr>
        <w:t>本指引与广东省《装配式建筑评价标准》</w:t>
      </w:r>
      <w:r>
        <w:rPr>
          <w:rFonts w:ascii="宋体" w:hAnsi="宋体"/>
        </w:rPr>
        <w:t>DBJ/T 15-163-2019</w:t>
      </w:r>
      <w:r>
        <w:rPr>
          <w:rFonts w:hint="eastAsia" w:ascii="宋体" w:hAnsi="宋体"/>
        </w:rPr>
        <w:t>并行实施，适用于评价佛山市装配式建筑的装配化程度。</w:t>
      </w:r>
    </w:p>
    <w:p>
      <w:pPr>
        <w:pStyle w:val="24"/>
        <w:rPr>
          <w:rFonts w:ascii="宋体" w:hAnsi="宋体"/>
        </w:rPr>
      </w:pPr>
      <w:r>
        <w:rPr>
          <w:rFonts w:hint="eastAsia" w:ascii="宋体" w:hAnsi="宋体"/>
          <w:b/>
        </w:rPr>
        <w:t>1</w:t>
      </w:r>
      <w:r>
        <w:rPr>
          <w:rFonts w:ascii="宋体" w:hAnsi="宋体"/>
          <w:b/>
        </w:rPr>
        <w:t>.0.4</w:t>
      </w:r>
      <w:r>
        <w:rPr>
          <w:rFonts w:ascii="宋体" w:hAnsi="宋体"/>
        </w:rPr>
        <w:tab/>
      </w:r>
      <w:r>
        <w:rPr>
          <w:rFonts w:hint="eastAsia" w:ascii="宋体" w:hAnsi="宋体"/>
        </w:rPr>
        <w:t>本指引采用装配率评价建筑的装配化程度。</w:t>
      </w:r>
    </w:p>
    <w:p>
      <w:pPr>
        <w:pStyle w:val="34"/>
        <w:ind w:firstLine="560"/>
        <w:rPr>
          <w:rFonts w:ascii="宋体" w:hAnsi="宋体" w:eastAsia="宋体"/>
          <w:sz w:val="28"/>
          <w:szCs w:val="28"/>
        </w:rPr>
        <w:sectPr>
          <w:footerReference r:id="rId5" w:type="default"/>
          <w:pgSz w:w="11906" w:h="16838"/>
          <w:pgMar w:top="1440" w:right="1800" w:bottom="1440" w:left="1800" w:header="851" w:footer="992" w:gutter="0"/>
          <w:pgNumType w:start="1"/>
          <w:cols w:space="720" w:num="1"/>
          <w:docGrid w:type="lines" w:linePitch="312" w:charSpace="0"/>
        </w:sectPr>
      </w:pPr>
    </w:p>
    <w:p>
      <w:pPr>
        <w:pStyle w:val="2"/>
        <w:spacing w:after="312"/>
        <w:rPr>
          <w:rFonts w:ascii="宋体" w:hAnsi="宋体"/>
          <w:szCs w:val="36"/>
        </w:rPr>
      </w:pPr>
      <w:bookmarkStart w:id="3" w:name="_Toc133412689"/>
      <w:r>
        <w:rPr>
          <w:rFonts w:hint="eastAsia" w:ascii="宋体" w:hAnsi="宋体"/>
          <w:szCs w:val="36"/>
        </w:rPr>
        <w:t>2</w:t>
      </w:r>
      <w:r>
        <w:rPr>
          <w:rFonts w:ascii="宋体" w:hAnsi="宋体"/>
          <w:szCs w:val="36"/>
        </w:rPr>
        <w:tab/>
      </w:r>
      <w:r>
        <w:rPr>
          <w:rFonts w:hint="eastAsia" w:ascii="宋体" w:hAnsi="宋体"/>
          <w:szCs w:val="36"/>
        </w:rPr>
        <w:t xml:space="preserve">术 </w:t>
      </w:r>
      <w:r>
        <w:rPr>
          <w:rFonts w:ascii="宋体" w:hAnsi="宋体"/>
          <w:szCs w:val="36"/>
        </w:rPr>
        <w:t xml:space="preserve"> </w:t>
      </w:r>
      <w:r>
        <w:rPr>
          <w:rFonts w:hint="eastAsia" w:ascii="宋体" w:hAnsi="宋体"/>
          <w:szCs w:val="36"/>
        </w:rPr>
        <w:t>语</w:t>
      </w:r>
      <w:bookmarkEnd w:id="3"/>
    </w:p>
    <w:p>
      <w:pPr>
        <w:pStyle w:val="24"/>
        <w:numPr>
          <w:ilvl w:val="0"/>
          <w:numId w:val="1"/>
        </w:numPr>
        <w:rPr>
          <w:rFonts w:ascii="宋体" w:hAnsi="宋体"/>
        </w:rPr>
      </w:pPr>
      <w:r>
        <w:rPr>
          <w:rFonts w:hint="eastAsia" w:ascii="宋体" w:hAnsi="宋体"/>
        </w:rPr>
        <w:t xml:space="preserve">装配式建筑 </w:t>
      </w:r>
      <w:r>
        <w:rPr>
          <w:rFonts w:ascii="宋体" w:hAnsi="宋体"/>
        </w:rPr>
        <w:t>prefabricated building</w:t>
      </w:r>
    </w:p>
    <w:p>
      <w:pPr>
        <w:pStyle w:val="47"/>
        <w:ind w:firstLine="560"/>
        <w:rPr>
          <w:rFonts w:ascii="宋体" w:hAnsi="宋体"/>
        </w:rPr>
      </w:pPr>
      <w:r>
        <w:rPr>
          <w:rFonts w:hint="eastAsia" w:ascii="宋体" w:hAnsi="宋体"/>
        </w:rPr>
        <w:t>由预制部品部件在工地装配而成的建筑。</w:t>
      </w:r>
    </w:p>
    <w:p>
      <w:pPr>
        <w:pStyle w:val="24"/>
        <w:numPr>
          <w:ilvl w:val="0"/>
          <w:numId w:val="1"/>
        </w:numPr>
        <w:rPr>
          <w:rFonts w:ascii="宋体" w:hAnsi="宋体"/>
        </w:rPr>
      </w:pPr>
      <w:r>
        <w:rPr>
          <w:rFonts w:hint="eastAsia" w:ascii="宋体" w:hAnsi="宋体"/>
        </w:rPr>
        <w:t xml:space="preserve">装配率 </w:t>
      </w:r>
      <w:r>
        <w:rPr>
          <w:rFonts w:ascii="宋体" w:hAnsi="宋体"/>
        </w:rPr>
        <w:t>prefabrication ratio</w:t>
      </w:r>
    </w:p>
    <w:p>
      <w:pPr>
        <w:pStyle w:val="47"/>
        <w:ind w:firstLine="560"/>
        <w:rPr>
          <w:rFonts w:ascii="宋体" w:hAnsi="宋体"/>
        </w:rPr>
      </w:pPr>
      <w:r>
        <w:rPr>
          <w:rFonts w:hint="eastAsia" w:ascii="宋体" w:hAnsi="宋体"/>
        </w:rPr>
        <w:t>建筑评价范围以内（室外地坪以上）的主体结构、围护墙、内隔墙、装修和设备管线等采用预制部品部件及标准化设计、绿色与信息化技术应用、施工与管理等的综合比例。</w:t>
      </w:r>
    </w:p>
    <w:p>
      <w:pPr>
        <w:pStyle w:val="24"/>
        <w:numPr>
          <w:ilvl w:val="0"/>
          <w:numId w:val="1"/>
        </w:numPr>
        <w:rPr>
          <w:rFonts w:ascii="宋体" w:hAnsi="宋体"/>
        </w:rPr>
      </w:pPr>
      <w:r>
        <w:rPr>
          <w:rFonts w:hint="eastAsia" w:ascii="宋体" w:hAnsi="宋体"/>
        </w:rPr>
        <w:t xml:space="preserve">全装修 </w:t>
      </w:r>
      <w:r>
        <w:rPr>
          <w:rFonts w:ascii="宋体" w:hAnsi="宋体"/>
        </w:rPr>
        <w:t>decorated</w:t>
      </w:r>
    </w:p>
    <w:p>
      <w:pPr>
        <w:pStyle w:val="47"/>
        <w:ind w:firstLine="560"/>
        <w:rPr>
          <w:rFonts w:ascii="宋体" w:hAnsi="宋体"/>
        </w:rPr>
      </w:pPr>
      <w:r>
        <w:rPr>
          <w:rFonts w:hint="eastAsia" w:ascii="宋体" w:hAnsi="宋体"/>
        </w:rPr>
        <w:t>建筑功能空间的固定面装修和设备设施安装全部完成，达到建筑使用功能和性能的基本要求。</w:t>
      </w:r>
    </w:p>
    <w:p>
      <w:pPr>
        <w:pStyle w:val="24"/>
        <w:numPr>
          <w:ilvl w:val="0"/>
          <w:numId w:val="1"/>
        </w:numPr>
        <w:rPr>
          <w:rFonts w:ascii="宋体" w:hAnsi="宋体"/>
        </w:rPr>
      </w:pPr>
      <w:r>
        <w:rPr>
          <w:rFonts w:hint="eastAsia" w:ascii="宋体" w:hAnsi="宋体"/>
        </w:rPr>
        <w:t xml:space="preserve">集成厨房 </w:t>
      </w:r>
      <w:r>
        <w:rPr>
          <w:rFonts w:ascii="宋体" w:hAnsi="宋体"/>
        </w:rPr>
        <w:t>integrated kitchen</w:t>
      </w:r>
    </w:p>
    <w:p>
      <w:pPr>
        <w:pStyle w:val="47"/>
        <w:ind w:firstLine="560"/>
        <w:rPr>
          <w:rFonts w:ascii="宋体" w:hAnsi="宋体"/>
        </w:rPr>
      </w:pPr>
      <w:r>
        <w:rPr>
          <w:rFonts w:hint="eastAsia" w:ascii="宋体" w:hAnsi="宋体"/>
        </w:rPr>
        <w:t>地面、吊顶、墙面、橱柜、厨房设备及管线等通过设计集成、工厂生产，在工地现场主要采用干式工法施工完成的厨房。</w:t>
      </w:r>
    </w:p>
    <w:p>
      <w:pPr>
        <w:pStyle w:val="24"/>
        <w:numPr>
          <w:ilvl w:val="0"/>
          <w:numId w:val="1"/>
        </w:numPr>
        <w:rPr>
          <w:rFonts w:ascii="宋体" w:hAnsi="宋体"/>
        </w:rPr>
      </w:pPr>
      <w:r>
        <w:rPr>
          <w:rFonts w:hint="eastAsia" w:ascii="宋体" w:hAnsi="宋体"/>
        </w:rPr>
        <w:t xml:space="preserve">集成卫生间 </w:t>
      </w:r>
      <w:r>
        <w:rPr>
          <w:rFonts w:ascii="宋体" w:hAnsi="宋体"/>
        </w:rPr>
        <w:t>integrated bathroom</w:t>
      </w:r>
    </w:p>
    <w:p>
      <w:pPr>
        <w:pStyle w:val="47"/>
        <w:ind w:firstLine="560"/>
        <w:rPr>
          <w:rFonts w:ascii="宋体" w:hAnsi="宋体"/>
        </w:rPr>
      </w:pPr>
      <w:r>
        <w:rPr>
          <w:rFonts w:hint="eastAsia" w:ascii="宋体" w:hAnsi="宋体"/>
        </w:rPr>
        <w:t>地面、吊顶、墙面、洁具设备及管线等通过设计集成、工厂生产，在工地主要采用干式工法装配而成的卫生间。</w:t>
      </w:r>
    </w:p>
    <w:p>
      <w:pPr>
        <w:pStyle w:val="24"/>
        <w:numPr>
          <w:ilvl w:val="0"/>
          <w:numId w:val="1"/>
        </w:numPr>
        <w:rPr>
          <w:rFonts w:ascii="宋体" w:hAnsi="宋体"/>
        </w:rPr>
      </w:pPr>
      <w:r>
        <w:rPr>
          <w:rFonts w:hint="eastAsia" w:ascii="宋体" w:hAnsi="宋体"/>
        </w:rPr>
        <w:t xml:space="preserve">干式工法 </w:t>
      </w:r>
      <w:r>
        <w:rPr>
          <w:rFonts w:ascii="宋体" w:hAnsi="宋体"/>
        </w:rPr>
        <w:t>non-wet construction</w:t>
      </w:r>
    </w:p>
    <w:p>
      <w:pPr>
        <w:pStyle w:val="47"/>
        <w:ind w:firstLine="560"/>
        <w:rPr>
          <w:rFonts w:ascii="宋体" w:hAnsi="宋体"/>
        </w:rPr>
      </w:pPr>
      <w:r>
        <w:rPr>
          <w:rFonts w:hint="eastAsia" w:ascii="宋体" w:hAnsi="宋体"/>
        </w:rPr>
        <w:t>采用干作业的施工方法。</w:t>
      </w:r>
    </w:p>
    <w:p>
      <w:pPr>
        <w:pStyle w:val="47"/>
        <w:ind w:firstLine="560"/>
        <w:rPr>
          <w:rFonts w:ascii="宋体" w:hAnsi="宋体"/>
        </w:rPr>
        <w:sectPr>
          <w:headerReference r:id="rId8" w:type="first"/>
          <w:footerReference r:id="rId10" w:type="first"/>
          <w:headerReference r:id="rId6" w:type="default"/>
          <w:headerReference r:id="rId7" w:type="even"/>
          <w:footerReference r:id="rId9" w:type="even"/>
          <w:pgSz w:w="11906" w:h="16838"/>
          <w:pgMar w:top="1440" w:right="1800" w:bottom="1440" w:left="1800" w:header="851" w:footer="992" w:gutter="0"/>
          <w:cols w:space="720" w:num="1"/>
          <w:docGrid w:type="lines" w:linePitch="312" w:charSpace="0"/>
        </w:sectPr>
      </w:pPr>
    </w:p>
    <w:p>
      <w:pPr>
        <w:pStyle w:val="2"/>
        <w:spacing w:after="312"/>
        <w:rPr>
          <w:rFonts w:ascii="宋体" w:hAnsi="宋体"/>
          <w:szCs w:val="36"/>
        </w:rPr>
      </w:pPr>
      <w:bookmarkStart w:id="4" w:name="_Toc133412690"/>
      <w:r>
        <w:rPr>
          <w:rFonts w:hint="eastAsia" w:ascii="宋体" w:hAnsi="宋体"/>
          <w:szCs w:val="36"/>
        </w:rPr>
        <w:t>3</w:t>
      </w:r>
      <w:r>
        <w:rPr>
          <w:rFonts w:ascii="宋体" w:hAnsi="宋体"/>
          <w:szCs w:val="36"/>
        </w:rPr>
        <w:tab/>
      </w:r>
      <w:r>
        <w:rPr>
          <w:rFonts w:hint="eastAsia" w:ascii="宋体" w:hAnsi="宋体"/>
          <w:szCs w:val="36"/>
        </w:rPr>
        <w:t>基 本 规 定</w:t>
      </w:r>
      <w:bookmarkEnd w:id="4"/>
    </w:p>
    <w:p>
      <w:pPr>
        <w:pStyle w:val="24"/>
        <w:rPr>
          <w:rFonts w:ascii="宋体" w:hAnsi="宋体"/>
        </w:rPr>
      </w:pPr>
      <w:r>
        <w:rPr>
          <w:rFonts w:hint="eastAsia" w:ascii="宋体" w:hAnsi="宋体"/>
          <w:b/>
        </w:rPr>
        <w:t>3.0.1</w:t>
      </w:r>
      <w:r>
        <w:rPr>
          <w:rFonts w:ascii="宋体" w:hAnsi="宋体"/>
        </w:rPr>
        <w:tab/>
      </w:r>
      <w:r>
        <w:rPr>
          <w:rFonts w:hint="eastAsia" w:ascii="宋体" w:hAnsi="宋体"/>
        </w:rPr>
        <w:t>装配率计算和装配式建筑等级评价宜以单体建筑作为计算和评价单元，并应符合下列规定：</w:t>
      </w:r>
    </w:p>
    <w:p>
      <w:pPr>
        <w:pStyle w:val="47"/>
        <w:ind w:firstLine="560"/>
        <w:rPr>
          <w:rFonts w:ascii="宋体" w:hAnsi="宋体"/>
        </w:rPr>
      </w:pPr>
      <w:r>
        <w:rPr>
          <w:rFonts w:hint="eastAsia" w:ascii="宋体" w:hAnsi="宋体"/>
        </w:rPr>
        <w:t>1</w:t>
      </w:r>
      <w:r>
        <w:rPr>
          <w:rFonts w:ascii="宋体" w:hAnsi="宋体"/>
        </w:rPr>
        <w:t xml:space="preserve"> </w:t>
      </w:r>
      <w:r>
        <w:rPr>
          <w:rFonts w:hint="eastAsia" w:ascii="宋体" w:hAnsi="宋体"/>
        </w:rPr>
        <w:t>单体建筑应按项目规划批准文件的建筑编号确认；</w:t>
      </w:r>
    </w:p>
    <w:p>
      <w:pPr>
        <w:pStyle w:val="47"/>
        <w:ind w:firstLine="560"/>
        <w:rPr>
          <w:rFonts w:ascii="宋体" w:hAnsi="宋体"/>
        </w:rPr>
      </w:pPr>
      <w:r>
        <w:rPr>
          <w:rFonts w:ascii="宋体" w:hAnsi="宋体"/>
        </w:rPr>
        <w:t xml:space="preserve">2 </w:t>
      </w:r>
      <w:r>
        <w:rPr>
          <w:rFonts w:hint="eastAsia" w:ascii="宋体" w:hAnsi="宋体"/>
        </w:rPr>
        <w:t>单体建筑由主楼、裙楼组成时，主楼、裙楼可按不同的单体建筑进行计算和评价；</w:t>
      </w:r>
    </w:p>
    <w:p>
      <w:pPr>
        <w:pStyle w:val="47"/>
        <w:ind w:firstLine="560"/>
        <w:rPr>
          <w:rFonts w:ascii="宋体" w:hAnsi="宋体"/>
        </w:rPr>
      </w:pPr>
      <w:r>
        <w:rPr>
          <w:rFonts w:ascii="宋体" w:hAnsi="宋体"/>
        </w:rPr>
        <w:t>3</w:t>
      </w:r>
      <w:r>
        <w:rPr>
          <w:rFonts w:hint="eastAsia" w:ascii="宋体" w:hAnsi="宋体"/>
        </w:rPr>
        <w:t xml:space="preserve"> 单体建筑的层数不大于3层，且地上建筑面积不超过500m</w:t>
      </w:r>
      <w:r>
        <w:rPr>
          <w:rFonts w:hint="eastAsia" w:ascii="宋体" w:hAnsi="宋体"/>
          <w:vertAlign w:val="superscript"/>
        </w:rPr>
        <w:t>2</w:t>
      </w:r>
      <w:r>
        <w:rPr>
          <w:rFonts w:hint="eastAsia" w:ascii="宋体" w:hAnsi="宋体"/>
        </w:rPr>
        <w:t>时，可由多个单体建筑组成建筑组团作为计算和评价单元；</w:t>
      </w:r>
    </w:p>
    <w:p>
      <w:pPr>
        <w:pStyle w:val="47"/>
        <w:ind w:firstLine="560"/>
        <w:rPr>
          <w:rFonts w:ascii="宋体" w:hAnsi="宋体"/>
        </w:rPr>
      </w:pPr>
      <w:r>
        <w:rPr>
          <w:rFonts w:ascii="宋体" w:hAnsi="宋体"/>
        </w:rPr>
        <w:t xml:space="preserve">4 </w:t>
      </w:r>
      <w:r>
        <w:rPr>
          <w:rFonts w:hint="eastAsia" w:ascii="宋体" w:hAnsi="宋体"/>
        </w:rPr>
        <w:t>地下建筑（含地下室）可单独进行计算和评价。</w:t>
      </w:r>
    </w:p>
    <w:p>
      <w:pPr>
        <w:pStyle w:val="24"/>
        <w:rPr>
          <w:rFonts w:ascii="宋体" w:hAnsi="宋体"/>
        </w:rPr>
      </w:pPr>
      <w:bookmarkStart w:id="5" w:name="_Hlk2763216"/>
      <w:r>
        <w:rPr>
          <w:rFonts w:hint="eastAsia" w:ascii="宋体" w:hAnsi="宋体"/>
          <w:b/>
        </w:rPr>
        <w:t>3.0.2</w:t>
      </w:r>
      <w:r>
        <w:rPr>
          <w:rFonts w:ascii="宋体" w:hAnsi="宋体"/>
        </w:rPr>
        <w:tab/>
      </w:r>
      <w:r>
        <w:rPr>
          <w:rFonts w:hint="eastAsia" w:ascii="宋体" w:hAnsi="宋体"/>
        </w:rPr>
        <w:t>装配式建筑评价应符合下列规定：</w:t>
      </w:r>
    </w:p>
    <w:p>
      <w:pPr>
        <w:pStyle w:val="47"/>
        <w:ind w:firstLine="560"/>
        <w:rPr>
          <w:rFonts w:ascii="宋体" w:hAnsi="宋体"/>
        </w:rPr>
      </w:pPr>
      <w:r>
        <w:rPr>
          <w:rFonts w:hint="eastAsia" w:ascii="宋体" w:hAnsi="宋体"/>
        </w:rPr>
        <w:t>1</w:t>
      </w:r>
      <w:r>
        <w:rPr>
          <w:rFonts w:ascii="宋体" w:hAnsi="宋体"/>
        </w:rPr>
        <w:t xml:space="preserve"> </w:t>
      </w:r>
      <w:r>
        <w:rPr>
          <w:rFonts w:hint="eastAsia" w:ascii="宋体" w:hAnsi="宋体"/>
        </w:rPr>
        <w:t>设计阶段应进行预评价，并应按设计文件计算装配率。</w:t>
      </w:r>
    </w:p>
    <w:p>
      <w:pPr>
        <w:pStyle w:val="47"/>
        <w:ind w:firstLine="560"/>
        <w:rPr>
          <w:rFonts w:ascii="宋体" w:hAnsi="宋体"/>
        </w:rPr>
      </w:pPr>
      <w:r>
        <w:rPr>
          <w:rFonts w:hint="eastAsia" w:ascii="宋体" w:hAnsi="宋体"/>
        </w:rPr>
        <w:t>2</w:t>
      </w:r>
      <w:r>
        <w:rPr>
          <w:rFonts w:ascii="宋体" w:hAnsi="宋体"/>
        </w:rPr>
        <w:t xml:space="preserve"> </w:t>
      </w:r>
      <w:r>
        <w:rPr>
          <w:rFonts w:hint="eastAsia" w:ascii="宋体" w:hAnsi="宋体"/>
        </w:rPr>
        <w:t>项目评价应在项目竣工验收阶段进行，并应按竣工验收资料计算装配率确定评价等级。</w:t>
      </w:r>
    </w:p>
    <w:bookmarkEnd w:id="5"/>
    <w:p>
      <w:pPr>
        <w:pStyle w:val="24"/>
        <w:rPr>
          <w:rFonts w:ascii="宋体" w:hAnsi="宋体"/>
        </w:rPr>
      </w:pPr>
      <w:r>
        <w:rPr>
          <w:rFonts w:hint="eastAsia" w:ascii="宋体" w:hAnsi="宋体"/>
          <w:b/>
        </w:rPr>
        <w:t>3.0.3</w:t>
      </w:r>
      <w:r>
        <w:rPr>
          <w:rFonts w:ascii="宋体" w:hAnsi="宋体"/>
        </w:rPr>
        <w:tab/>
      </w:r>
      <w:r>
        <w:rPr>
          <w:rFonts w:hint="eastAsia" w:ascii="宋体" w:hAnsi="宋体"/>
        </w:rPr>
        <w:t>单体建筑（评价单元）同时满足下列要求时，认定为装配式建筑：</w:t>
      </w:r>
    </w:p>
    <w:p>
      <w:pPr>
        <w:pStyle w:val="47"/>
        <w:ind w:firstLine="560"/>
        <w:rPr>
          <w:rFonts w:ascii="宋体" w:hAnsi="宋体"/>
        </w:rPr>
      </w:pPr>
      <w:r>
        <w:rPr>
          <w:rFonts w:hint="eastAsia" w:ascii="宋体" w:hAnsi="宋体"/>
        </w:rPr>
        <w:t>1 主体结构部分的评价分值不低于</w:t>
      </w:r>
      <w:r>
        <w:rPr>
          <w:rFonts w:ascii="宋体" w:hAnsi="宋体"/>
        </w:rPr>
        <w:t>16</w:t>
      </w:r>
      <w:r>
        <w:rPr>
          <w:rFonts w:hint="eastAsia" w:ascii="宋体" w:hAnsi="宋体"/>
        </w:rPr>
        <w:t>分；</w:t>
      </w:r>
    </w:p>
    <w:p>
      <w:pPr>
        <w:pStyle w:val="47"/>
        <w:ind w:firstLine="560"/>
        <w:rPr>
          <w:rFonts w:ascii="宋体" w:hAnsi="宋体"/>
        </w:rPr>
      </w:pPr>
      <w:r>
        <w:rPr>
          <w:rFonts w:hint="eastAsia" w:ascii="宋体" w:hAnsi="宋体"/>
        </w:rPr>
        <w:t>2 围护墙和内隔墙部分的评价分值，</w:t>
      </w:r>
      <w:r>
        <w:rPr>
          <w:rFonts w:ascii="宋体" w:hAnsi="宋体"/>
        </w:rPr>
        <w:t>高层建筑</w:t>
      </w:r>
      <w:r>
        <w:rPr>
          <w:rFonts w:hint="eastAsia" w:ascii="宋体" w:hAnsi="宋体"/>
        </w:rPr>
        <w:t>不低于10分，</w:t>
      </w:r>
      <w:r>
        <w:rPr>
          <w:rFonts w:ascii="宋体" w:hAnsi="宋体"/>
        </w:rPr>
        <w:t>低、</w:t>
      </w:r>
      <w:r>
        <w:rPr>
          <w:rFonts w:hint="eastAsia" w:ascii="宋体" w:hAnsi="宋体"/>
        </w:rPr>
        <w:t>多层建筑</w:t>
      </w:r>
      <w:r>
        <w:rPr>
          <w:rFonts w:ascii="宋体" w:hAnsi="宋体"/>
        </w:rPr>
        <w:t>不低于</w:t>
      </w:r>
      <w:r>
        <w:rPr>
          <w:rFonts w:hint="eastAsia" w:ascii="宋体" w:hAnsi="宋体"/>
        </w:rPr>
        <w:t>5分；</w:t>
      </w:r>
    </w:p>
    <w:p>
      <w:pPr>
        <w:pStyle w:val="47"/>
        <w:ind w:firstLine="560"/>
        <w:rPr>
          <w:rFonts w:ascii="宋体" w:hAnsi="宋体"/>
        </w:rPr>
      </w:pPr>
      <w:r>
        <w:rPr>
          <w:rFonts w:hint="eastAsia" w:ascii="宋体" w:hAnsi="宋体"/>
        </w:rPr>
        <w:t>3 采用全装修；</w:t>
      </w:r>
    </w:p>
    <w:p>
      <w:pPr>
        <w:pStyle w:val="47"/>
        <w:ind w:firstLine="560"/>
        <w:rPr>
          <w:rFonts w:ascii="宋体" w:hAnsi="宋体"/>
        </w:rPr>
      </w:pPr>
      <w:r>
        <w:rPr>
          <w:rFonts w:ascii="宋体" w:hAnsi="宋体"/>
        </w:rPr>
        <w:t>4</w:t>
      </w:r>
      <w:r>
        <w:rPr>
          <w:rFonts w:hint="eastAsia" w:ascii="宋体" w:hAnsi="宋体"/>
        </w:rPr>
        <w:t xml:space="preserve"> 装配率不低于50%。</w:t>
      </w:r>
    </w:p>
    <w:p>
      <w:pPr>
        <w:pStyle w:val="24"/>
        <w:rPr>
          <w:rFonts w:ascii="宋体" w:hAnsi="宋体"/>
        </w:rPr>
      </w:pPr>
      <w:r>
        <w:rPr>
          <w:rFonts w:hint="eastAsia" w:ascii="宋体" w:hAnsi="宋体"/>
          <w:b/>
        </w:rPr>
        <w:t>3.0.4</w:t>
      </w:r>
      <w:r>
        <w:rPr>
          <w:rFonts w:ascii="宋体" w:hAnsi="宋体"/>
        </w:rPr>
        <w:tab/>
      </w:r>
      <w:r>
        <w:rPr>
          <w:rFonts w:hint="eastAsia" w:ascii="宋体" w:hAnsi="宋体"/>
        </w:rPr>
        <w:t>装配式建筑宜采用装配化装修。</w:t>
      </w:r>
    </w:p>
    <w:p>
      <w:pPr>
        <w:pStyle w:val="24"/>
        <w:rPr>
          <w:rFonts w:ascii="宋体" w:hAnsi="宋体"/>
          <w:b/>
        </w:rPr>
      </w:pPr>
    </w:p>
    <w:p>
      <w:pPr>
        <w:pStyle w:val="24"/>
        <w:rPr>
          <w:rFonts w:ascii="宋体" w:hAnsi="宋体"/>
        </w:rPr>
        <w:sectPr>
          <w:pgSz w:w="11906" w:h="16838"/>
          <w:pgMar w:top="1440" w:right="1800" w:bottom="1440" w:left="1800" w:header="851" w:footer="992" w:gutter="0"/>
          <w:cols w:space="720" w:num="1"/>
          <w:docGrid w:type="lines" w:linePitch="312" w:charSpace="0"/>
        </w:sectPr>
      </w:pPr>
    </w:p>
    <w:p>
      <w:pPr>
        <w:pStyle w:val="2"/>
        <w:spacing w:after="312"/>
        <w:rPr>
          <w:rFonts w:ascii="宋体" w:hAnsi="宋体"/>
          <w:sz w:val="28"/>
          <w:szCs w:val="28"/>
        </w:rPr>
      </w:pPr>
      <w:bookmarkStart w:id="6" w:name="_Toc133412691"/>
      <w:r>
        <w:rPr>
          <w:rFonts w:ascii="宋体" w:hAnsi="宋体"/>
          <w:szCs w:val="28"/>
        </w:rPr>
        <w:t>4</w:t>
      </w:r>
      <w:r>
        <w:rPr>
          <w:rFonts w:ascii="宋体" w:hAnsi="宋体"/>
          <w:szCs w:val="28"/>
        </w:rPr>
        <w:tab/>
      </w:r>
      <w:r>
        <w:rPr>
          <w:rFonts w:hint="eastAsia" w:ascii="宋体" w:hAnsi="宋体"/>
          <w:szCs w:val="28"/>
        </w:rPr>
        <w:t>装配率计算</w:t>
      </w:r>
      <w:bookmarkEnd w:id="6"/>
    </w:p>
    <w:p>
      <w:pPr>
        <w:pStyle w:val="45"/>
        <w:spacing w:before="156" w:after="156"/>
        <w:rPr>
          <w:rFonts w:ascii="宋体" w:hAnsi="宋体"/>
          <w:szCs w:val="28"/>
        </w:rPr>
      </w:pPr>
      <w:bookmarkStart w:id="7" w:name="_Toc133412692"/>
      <w:r>
        <w:rPr>
          <w:rFonts w:hint="eastAsia" w:ascii="宋体" w:hAnsi="宋体"/>
          <w:szCs w:val="28"/>
        </w:rPr>
        <w:t>4</w:t>
      </w:r>
      <w:r>
        <w:rPr>
          <w:rFonts w:ascii="宋体" w:hAnsi="宋体"/>
          <w:szCs w:val="28"/>
        </w:rPr>
        <w:t xml:space="preserve">.1 </w:t>
      </w:r>
      <w:r>
        <w:rPr>
          <w:rFonts w:hint="eastAsia" w:ascii="宋体" w:hAnsi="宋体"/>
          <w:szCs w:val="28"/>
        </w:rPr>
        <w:t>计算公式与评分表</w:t>
      </w:r>
      <w:bookmarkEnd w:id="7"/>
    </w:p>
    <w:p>
      <w:pPr>
        <w:pStyle w:val="24"/>
        <w:rPr>
          <w:rFonts w:ascii="宋体" w:hAnsi="宋体"/>
        </w:rPr>
      </w:pPr>
      <w:r>
        <w:rPr>
          <w:rFonts w:hint="eastAsia" w:ascii="宋体" w:hAnsi="宋体"/>
          <w:b/>
        </w:rPr>
        <w:t>4.1.1</w:t>
      </w:r>
      <w:r>
        <w:rPr>
          <w:rFonts w:ascii="宋体" w:hAnsi="宋体"/>
        </w:rPr>
        <w:tab/>
      </w:r>
      <w:r>
        <w:rPr>
          <w:rFonts w:hint="eastAsia" w:ascii="宋体" w:hAnsi="宋体"/>
        </w:rPr>
        <w:t>装配率由主体结构评价得分、围护墙和内隔墙评价得分、装修和设备管线评价得分、细化项评价得分、鼓励项评价得分计算得出。</w:t>
      </w:r>
    </w:p>
    <w:p>
      <w:pPr>
        <w:pStyle w:val="24"/>
        <w:rPr>
          <w:rFonts w:ascii="宋体" w:hAnsi="宋体"/>
        </w:rPr>
      </w:pPr>
      <w:bookmarkStart w:id="8" w:name="_Hlk2763639"/>
      <w:r>
        <w:rPr>
          <w:rFonts w:hint="eastAsia" w:ascii="宋体" w:hAnsi="宋体"/>
          <w:b/>
        </w:rPr>
        <w:t>4</w:t>
      </w:r>
      <w:r>
        <w:rPr>
          <w:rFonts w:ascii="宋体" w:hAnsi="宋体"/>
          <w:b/>
        </w:rPr>
        <w:t>.1.</w:t>
      </w:r>
      <w:r>
        <w:rPr>
          <w:rFonts w:hint="eastAsia" w:ascii="宋体" w:hAnsi="宋体"/>
          <w:b/>
        </w:rPr>
        <w:t>2</w:t>
      </w:r>
      <w:r>
        <w:rPr>
          <w:rFonts w:ascii="宋体" w:hAnsi="宋体"/>
        </w:rPr>
        <w:tab/>
      </w:r>
      <w:r>
        <w:rPr>
          <w:rFonts w:hint="eastAsia" w:ascii="宋体" w:hAnsi="宋体"/>
        </w:rPr>
        <w:t>装配率应根据表</w:t>
      </w:r>
      <w:r>
        <w:rPr>
          <w:rFonts w:ascii="宋体" w:hAnsi="宋体"/>
        </w:rPr>
        <w:t>4.1.</w:t>
      </w:r>
      <w:r>
        <w:rPr>
          <w:rFonts w:hint="eastAsia" w:ascii="宋体" w:hAnsi="宋体"/>
        </w:rPr>
        <w:t>2中评价项分值按下式计算：</w:t>
      </w:r>
    </w:p>
    <w:p>
      <w:pPr>
        <w:pStyle w:val="43"/>
        <w:tabs>
          <w:tab w:val="center" w:pos="4536"/>
          <w:tab w:val="right" w:pos="9070"/>
          <w:tab w:val="clear" w:pos="4160"/>
          <w:tab w:val="clear" w:pos="8300"/>
        </w:tabs>
        <w:rPr>
          <w:rFonts w:ascii="宋体" w:hAnsi="宋体"/>
        </w:rPr>
      </w:pPr>
      <w:r>
        <w:rPr>
          <w:rFonts w:ascii="宋体" w:hAnsi="宋体"/>
        </w:rPr>
        <w:tab/>
      </w:r>
      <w:r>
        <w:rPr>
          <w:rFonts w:ascii="宋体" w:hAnsi="宋体"/>
          <w:position w:val="-36"/>
        </w:rPr>
        <w:object>
          <v:shape id="_x0000_i1025" o:spt="75" type="#_x0000_t75" style="height:42.8pt;width:273pt;" o:ole="t" filled="f" o:preferrelative="t" stroked="f" coordsize="21600,21600">
            <v:path/>
            <v:fill on="f" focussize="0,0"/>
            <v:stroke on="f" joinstyle="miter"/>
            <v:imagedata r:id="rId14" o:title=""/>
            <o:lock v:ext="edit" aspectratio="t"/>
            <w10:wrap type="none"/>
            <w10:anchorlock/>
          </v:shape>
          <o:OLEObject Type="Embed" ProgID="Equation.DSMT4" ShapeID="_x0000_i1025" DrawAspect="Content" ObjectID="_1468075725" r:id="rId13">
            <o:LockedField>false</o:LockedField>
          </o:OLEObject>
        </w:object>
      </w:r>
      <w:r>
        <w:rPr>
          <w:rFonts w:ascii="宋体" w:hAnsi="宋体"/>
        </w:rPr>
        <w:tab/>
      </w:r>
      <w:r>
        <w:rPr>
          <w:rFonts w:hint="eastAsia" w:ascii="宋体" w:hAnsi="宋体"/>
        </w:rPr>
        <w:t>（</w:t>
      </w:r>
      <w:r>
        <w:rPr>
          <w:rFonts w:ascii="宋体" w:hAnsi="宋体"/>
        </w:rPr>
        <w:t>4.1.2</w:t>
      </w:r>
      <w:r>
        <w:rPr>
          <w:rFonts w:hint="eastAsia" w:ascii="宋体" w:hAnsi="宋体"/>
        </w:rPr>
        <w:t>）</w:t>
      </w:r>
    </w:p>
    <w:p>
      <w:pPr>
        <w:pStyle w:val="24"/>
        <w:rPr>
          <w:rFonts w:ascii="宋体" w:hAnsi="宋体"/>
        </w:rPr>
      </w:pPr>
      <w:r>
        <w:rPr>
          <w:rFonts w:hint="eastAsia" w:ascii="宋体" w:hAnsi="宋体"/>
        </w:rPr>
        <w:t>式中：</w:t>
      </w:r>
      <w:r>
        <w:rPr>
          <w:rFonts w:hint="eastAsia" w:ascii="宋体" w:hAnsi="宋体"/>
          <w:i/>
        </w:rPr>
        <w:t>P</w:t>
      </w:r>
      <w:r>
        <w:rPr>
          <w:rFonts w:ascii="宋体" w:hAnsi="宋体"/>
        </w:rPr>
        <w:t>——</w:t>
      </w:r>
      <w:r>
        <w:rPr>
          <w:rFonts w:hint="eastAsia" w:ascii="宋体" w:hAnsi="宋体"/>
        </w:rPr>
        <w:t>装配率；</w:t>
      </w:r>
    </w:p>
    <w:p>
      <w:pPr>
        <w:pStyle w:val="26"/>
        <w:rPr>
          <w:rFonts w:ascii="宋体" w:hAnsi="宋体"/>
        </w:rPr>
      </w:pPr>
      <w:r>
        <w:rPr>
          <w:rFonts w:hint="eastAsia" w:ascii="宋体" w:hAnsi="宋体"/>
        </w:rPr>
        <w:t>Q</w:t>
      </w:r>
      <w:r>
        <w:rPr>
          <w:rFonts w:ascii="宋体" w:hAnsi="宋体"/>
          <w:vertAlign w:val="subscript"/>
        </w:rPr>
        <w:t>1</w:t>
      </w:r>
      <w:r>
        <w:rPr>
          <w:rFonts w:ascii="宋体" w:hAnsi="宋体"/>
        </w:rPr>
        <w:t>——</w:t>
      </w:r>
      <w:r>
        <w:rPr>
          <w:rFonts w:hint="eastAsia" w:ascii="宋体" w:hAnsi="宋体"/>
        </w:rPr>
        <w:t>主体结构指标实际得分值；</w:t>
      </w:r>
    </w:p>
    <w:p>
      <w:pPr>
        <w:pStyle w:val="26"/>
        <w:rPr>
          <w:rFonts w:ascii="宋体" w:hAnsi="宋体"/>
        </w:rPr>
      </w:pPr>
      <w:r>
        <w:rPr>
          <w:rFonts w:hint="eastAsia" w:ascii="宋体" w:hAnsi="宋体"/>
        </w:rPr>
        <w:t>Q</w:t>
      </w:r>
      <w:r>
        <w:rPr>
          <w:rFonts w:ascii="宋体" w:hAnsi="宋体"/>
          <w:vertAlign w:val="subscript"/>
        </w:rPr>
        <w:t>2</w:t>
      </w:r>
      <w:r>
        <w:rPr>
          <w:rFonts w:ascii="宋体" w:hAnsi="宋体"/>
        </w:rPr>
        <w:t>——</w:t>
      </w:r>
      <w:r>
        <w:rPr>
          <w:rFonts w:hint="eastAsia" w:ascii="宋体" w:hAnsi="宋体"/>
        </w:rPr>
        <w:t>围护墙和内隔墙指标实际得分值；</w:t>
      </w:r>
    </w:p>
    <w:p>
      <w:pPr>
        <w:pStyle w:val="47"/>
        <w:ind w:firstLine="848" w:firstLineChars="303"/>
        <w:rPr>
          <w:rFonts w:ascii="宋体" w:hAnsi="宋体"/>
        </w:rPr>
      </w:pPr>
      <w:r>
        <w:rPr>
          <w:rFonts w:hint="eastAsia" w:ascii="宋体" w:hAnsi="宋体"/>
        </w:rPr>
        <w:t>Q</w:t>
      </w:r>
      <w:r>
        <w:rPr>
          <w:rFonts w:ascii="宋体" w:hAnsi="宋体"/>
          <w:vertAlign w:val="subscript"/>
        </w:rPr>
        <w:t>3</w:t>
      </w:r>
      <w:r>
        <w:rPr>
          <w:rFonts w:ascii="宋体" w:hAnsi="宋体"/>
        </w:rPr>
        <w:t>——</w:t>
      </w:r>
      <w:r>
        <w:rPr>
          <w:rFonts w:hint="eastAsia" w:ascii="宋体" w:hAnsi="宋体"/>
        </w:rPr>
        <w:t>装修和设备管线指标实际得分值；</w:t>
      </w:r>
    </w:p>
    <w:p>
      <w:pPr>
        <w:pStyle w:val="26"/>
        <w:rPr>
          <w:rFonts w:ascii="宋体" w:hAnsi="宋体"/>
        </w:rPr>
      </w:pPr>
      <w:r>
        <w:rPr>
          <w:rFonts w:hint="eastAsia" w:ascii="宋体" w:hAnsi="宋体"/>
        </w:rPr>
        <w:t>Q</w:t>
      </w:r>
      <w:r>
        <w:rPr>
          <w:rFonts w:ascii="宋体" w:hAnsi="宋体"/>
          <w:vertAlign w:val="subscript"/>
        </w:rPr>
        <w:t>4</w:t>
      </w:r>
      <w:r>
        <w:rPr>
          <w:rFonts w:ascii="宋体" w:hAnsi="宋体"/>
        </w:rPr>
        <w:t>——</w:t>
      </w:r>
      <w:r>
        <w:rPr>
          <w:rFonts w:hint="eastAsia" w:ascii="宋体" w:hAnsi="宋体"/>
        </w:rPr>
        <w:t>评价项目中缺少的评价项分值总和，不含Q</w:t>
      </w:r>
      <w:r>
        <w:rPr>
          <w:rFonts w:ascii="宋体" w:hAnsi="宋体"/>
          <w:vertAlign w:val="subscript"/>
        </w:rPr>
        <w:t>5</w:t>
      </w:r>
      <w:r>
        <w:rPr>
          <w:rFonts w:hint="eastAsia" w:ascii="宋体" w:hAnsi="宋体"/>
        </w:rPr>
        <w:t>；</w:t>
      </w:r>
    </w:p>
    <w:p>
      <w:pPr>
        <w:pStyle w:val="26"/>
        <w:ind w:left="1698" w:leftChars="398" w:hanging="862" w:hangingChars="308"/>
        <w:rPr>
          <w:rFonts w:ascii="宋体" w:hAnsi="宋体"/>
        </w:rPr>
      </w:pPr>
      <w:r>
        <w:rPr>
          <w:rFonts w:hint="eastAsia" w:ascii="宋体" w:hAnsi="宋体"/>
        </w:rPr>
        <w:t>Q</w:t>
      </w:r>
      <w:r>
        <w:rPr>
          <w:rFonts w:ascii="宋体" w:hAnsi="宋体"/>
          <w:vertAlign w:val="subscript"/>
        </w:rPr>
        <w:t>5</w:t>
      </w:r>
      <w:r>
        <w:rPr>
          <w:rFonts w:ascii="宋体" w:hAnsi="宋体"/>
        </w:rPr>
        <w:t>——</w:t>
      </w:r>
      <w:r>
        <w:rPr>
          <w:rFonts w:hint="eastAsia" w:ascii="宋体" w:hAnsi="宋体"/>
        </w:rPr>
        <w:t>细化项实际得分值，细化项评价要求及评分细则详见表4</w:t>
      </w:r>
      <w:r>
        <w:rPr>
          <w:rFonts w:ascii="宋体" w:hAnsi="宋体"/>
        </w:rPr>
        <w:t>.1.</w:t>
      </w:r>
      <w:r>
        <w:rPr>
          <w:rFonts w:hint="eastAsia" w:ascii="宋体" w:hAnsi="宋体"/>
        </w:rPr>
        <w:t>2与4</w:t>
      </w:r>
      <w:r>
        <w:rPr>
          <w:rFonts w:ascii="宋体" w:hAnsi="宋体"/>
        </w:rPr>
        <w:t>.5</w:t>
      </w:r>
      <w:r>
        <w:rPr>
          <w:rFonts w:hint="eastAsia" w:ascii="宋体" w:hAnsi="宋体"/>
        </w:rPr>
        <w:t>节相关条文</w:t>
      </w:r>
      <w:r>
        <w:rPr>
          <w:rFonts w:ascii="宋体" w:hAnsi="宋体"/>
        </w:rPr>
        <w:t>；</w:t>
      </w:r>
    </w:p>
    <w:p>
      <w:pPr>
        <w:pStyle w:val="26"/>
        <w:ind w:left="1698" w:leftChars="398" w:hanging="862" w:hangingChars="308"/>
        <w:rPr>
          <w:rFonts w:ascii="宋体" w:hAnsi="宋体"/>
        </w:rPr>
      </w:pPr>
      <w:r>
        <w:rPr>
          <w:rFonts w:hint="eastAsia" w:ascii="宋体" w:hAnsi="宋体"/>
        </w:rPr>
        <w:t>Q</w:t>
      </w:r>
      <w:r>
        <w:rPr>
          <w:rFonts w:ascii="宋体" w:hAnsi="宋体"/>
          <w:vertAlign w:val="subscript"/>
        </w:rPr>
        <w:t>6</w:t>
      </w:r>
      <w:r>
        <w:rPr>
          <w:rFonts w:ascii="宋体" w:hAnsi="宋体"/>
        </w:rPr>
        <w:t>——</w:t>
      </w:r>
      <w:r>
        <w:rPr>
          <w:rFonts w:hint="eastAsia" w:ascii="宋体" w:hAnsi="宋体"/>
        </w:rPr>
        <w:t>鼓励项实际得分值，鼓励项评价要求及评分细则详见表4</w:t>
      </w:r>
      <w:r>
        <w:rPr>
          <w:rFonts w:ascii="宋体" w:hAnsi="宋体"/>
        </w:rPr>
        <w:t>.1.</w:t>
      </w:r>
      <w:r>
        <w:rPr>
          <w:rFonts w:hint="eastAsia" w:ascii="宋体" w:hAnsi="宋体"/>
        </w:rPr>
        <w:t>2与4</w:t>
      </w:r>
      <w:r>
        <w:rPr>
          <w:rFonts w:ascii="宋体" w:hAnsi="宋体"/>
        </w:rPr>
        <w:t>.6</w:t>
      </w:r>
      <w:r>
        <w:rPr>
          <w:rFonts w:hint="eastAsia" w:ascii="宋体" w:hAnsi="宋体"/>
        </w:rPr>
        <w:t>节相关条文。</w:t>
      </w:r>
    </w:p>
    <w:bookmarkEnd w:id="8"/>
    <w:p>
      <w:pPr>
        <w:jc w:val="center"/>
        <w:rPr>
          <w:rFonts w:ascii="宋体" w:hAnsi="宋体"/>
          <w:b/>
          <w:sz w:val="28"/>
          <w:szCs w:val="28"/>
        </w:rPr>
        <w:sectPr>
          <w:pgSz w:w="11906" w:h="16838"/>
          <w:pgMar w:top="1418" w:right="1418" w:bottom="1418" w:left="1418" w:header="851" w:footer="992" w:gutter="0"/>
          <w:cols w:space="720" w:num="1"/>
          <w:docGrid w:type="lines" w:linePitch="312" w:charSpace="0"/>
        </w:sectPr>
      </w:pPr>
    </w:p>
    <w:p>
      <w:pPr>
        <w:jc w:val="center"/>
        <w:rPr>
          <w:rFonts w:ascii="宋体" w:hAnsi="宋体"/>
          <w:b/>
          <w:sz w:val="28"/>
          <w:szCs w:val="28"/>
        </w:rPr>
      </w:pPr>
      <w:bookmarkStart w:id="9" w:name="_Hlk2764038"/>
      <w:r>
        <w:rPr>
          <w:rFonts w:hint="eastAsia" w:ascii="宋体" w:hAnsi="宋体"/>
          <w:b/>
          <w:sz w:val="28"/>
          <w:szCs w:val="28"/>
        </w:rPr>
        <w:t>表</w:t>
      </w:r>
      <w:r>
        <w:rPr>
          <w:rFonts w:ascii="宋体" w:hAnsi="宋体"/>
          <w:b/>
          <w:sz w:val="28"/>
          <w:szCs w:val="28"/>
        </w:rPr>
        <w:t>4.1.</w:t>
      </w:r>
      <w:r>
        <w:rPr>
          <w:rFonts w:hint="eastAsia" w:ascii="宋体" w:hAnsi="宋体"/>
          <w:b/>
          <w:sz w:val="28"/>
          <w:szCs w:val="28"/>
        </w:rPr>
        <w:t>2</w:t>
      </w:r>
      <w:r>
        <w:rPr>
          <w:rFonts w:ascii="宋体" w:hAnsi="宋体"/>
          <w:b/>
          <w:sz w:val="28"/>
          <w:szCs w:val="28"/>
        </w:rPr>
        <w:t xml:space="preserve"> </w:t>
      </w:r>
      <w:r>
        <w:rPr>
          <w:rFonts w:hint="eastAsia" w:ascii="宋体" w:hAnsi="宋体"/>
          <w:b/>
          <w:sz w:val="28"/>
          <w:szCs w:val="28"/>
        </w:rPr>
        <w:t>装配式建筑评分表</w:t>
      </w:r>
    </w:p>
    <w:bookmarkEnd w:id="9"/>
    <w:tbl>
      <w:tblPr>
        <w:tblStyle w:val="15"/>
        <w:tblW w:w="9488" w:type="dxa"/>
        <w:tblInd w:w="0" w:type="dxa"/>
        <w:tblLayout w:type="fixed"/>
        <w:tblCellMar>
          <w:top w:w="0" w:type="dxa"/>
          <w:left w:w="108" w:type="dxa"/>
          <w:bottom w:w="0" w:type="dxa"/>
          <w:right w:w="108" w:type="dxa"/>
        </w:tblCellMar>
      </w:tblPr>
      <w:tblGrid>
        <w:gridCol w:w="1108"/>
        <w:gridCol w:w="576"/>
        <w:gridCol w:w="858"/>
        <w:gridCol w:w="2410"/>
        <w:gridCol w:w="2126"/>
        <w:gridCol w:w="567"/>
        <w:gridCol w:w="992"/>
        <w:gridCol w:w="851"/>
      </w:tblGrid>
      <w:tr>
        <w:tblPrEx>
          <w:tblCellMar>
            <w:top w:w="0" w:type="dxa"/>
            <w:left w:w="108" w:type="dxa"/>
            <w:bottom w:w="0" w:type="dxa"/>
            <w:right w:w="108" w:type="dxa"/>
          </w:tblCellMar>
        </w:tblPrEx>
        <w:trPr>
          <w:trHeight w:val="402" w:hRule="atLeast"/>
          <w:tblHeader/>
        </w:trPr>
        <w:tc>
          <w:tcPr>
            <w:tcW w:w="4952"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评价项</w:t>
            </w:r>
          </w:p>
        </w:tc>
        <w:tc>
          <w:tcPr>
            <w:tcW w:w="212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评价要求</w:t>
            </w:r>
          </w:p>
        </w:tc>
        <w:tc>
          <w:tcPr>
            <w:tcW w:w="1559"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评价分值</w:t>
            </w:r>
          </w:p>
        </w:tc>
        <w:tc>
          <w:tcPr>
            <w:tcW w:w="851"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最低分值</w:t>
            </w:r>
          </w:p>
        </w:tc>
      </w:tr>
      <w:tr>
        <w:trPr>
          <w:trHeight w:val="600" w:hRule="atLeast"/>
        </w:trPr>
        <w:tc>
          <w:tcPr>
            <w:tcW w:w="1108"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Q1：主体结构</w:t>
            </w:r>
            <w:r>
              <w:rPr>
                <w:rFonts w:hint="eastAsia" w:ascii="宋体" w:hAnsi="宋体" w:cs="宋体"/>
                <w:kern w:val="0"/>
                <w:sz w:val="24"/>
              </w:rPr>
              <w:br w:type="textWrapping"/>
            </w:r>
            <w:r>
              <w:rPr>
                <w:rFonts w:hint="eastAsia" w:ascii="宋体" w:hAnsi="宋体" w:cs="宋体"/>
                <w:kern w:val="0"/>
                <w:sz w:val="24"/>
              </w:rPr>
              <w:t>(40分)</w:t>
            </w: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Q1a</w:t>
            </w:r>
          </w:p>
        </w:tc>
        <w:tc>
          <w:tcPr>
            <w:tcW w:w="3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柱、支撑、承重墙、延性墙板等竖向构件</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30%≤比例≤70%</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16～24*</w:t>
            </w:r>
          </w:p>
        </w:tc>
        <w:tc>
          <w:tcPr>
            <w:tcW w:w="851" w:type="dxa"/>
            <w:vMerge w:val="restar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16</w:t>
            </w:r>
          </w:p>
        </w:tc>
      </w:tr>
      <w:tr>
        <w:tblPrEx>
          <w:tblCellMar>
            <w:top w:w="0" w:type="dxa"/>
            <w:left w:w="108" w:type="dxa"/>
            <w:bottom w:w="0" w:type="dxa"/>
            <w:right w:w="108" w:type="dxa"/>
          </w:tblCellMar>
        </w:tblPrEx>
        <w:trPr>
          <w:trHeight w:val="600" w:hRule="atLeast"/>
        </w:trPr>
        <w:tc>
          <w:tcPr>
            <w:tcW w:w="110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Q1b</w:t>
            </w:r>
          </w:p>
        </w:tc>
        <w:tc>
          <w:tcPr>
            <w:tcW w:w="3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梁、板、楼梯、阳台、空调板等构件</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60%≤比例≤70%</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8～16*</w:t>
            </w:r>
          </w:p>
        </w:tc>
        <w:tc>
          <w:tcPr>
            <w:tcW w:w="851" w:type="dxa"/>
            <w:vMerge w:val="continue"/>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cs="宋体"/>
                <w:kern w:val="0"/>
                <w:sz w:val="24"/>
              </w:rPr>
            </w:pPr>
          </w:p>
        </w:tc>
      </w:tr>
      <w:tr>
        <w:trPr>
          <w:trHeight w:val="402" w:hRule="atLeast"/>
        </w:trPr>
        <w:tc>
          <w:tcPr>
            <w:tcW w:w="1108"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Q2：围护墙和内隔墙</w:t>
            </w:r>
            <w:r>
              <w:rPr>
                <w:rFonts w:hint="eastAsia" w:ascii="宋体" w:hAnsi="宋体" w:cs="宋体"/>
                <w:kern w:val="0"/>
                <w:sz w:val="24"/>
              </w:rPr>
              <w:br w:type="textWrapping"/>
            </w:r>
            <w:r>
              <w:rPr>
                <w:rFonts w:hint="eastAsia" w:ascii="宋体" w:hAnsi="宋体" w:cs="宋体"/>
                <w:kern w:val="0"/>
                <w:sz w:val="24"/>
              </w:rPr>
              <w:t>(20分)</w:t>
            </w: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Q2a</w:t>
            </w:r>
          </w:p>
        </w:tc>
        <w:tc>
          <w:tcPr>
            <w:tcW w:w="3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非承重围护墙非砌筑</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比例≥80%</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5</w:t>
            </w:r>
          </w:p>
        </w:tc>
        <w:tc>
          <w:tcPr>
            <w:tcW w:w="851" w:type="dxa"/>
            <w:vMerge w:val="restar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w w:val="66"/>
                <w:kern w:val="0"/>
                <w:sz w:val="24"/>
              </w:rPr>
            </w:pPr>
            <w:r>
              <w:rPr>
                <w:rFonts w:hint="eastAsia" w:ascii="宋体" w:hAnsi="宋体" w:cs="宋体"/>
                <w:w w:val="66"/>
                <w:kern w:val="0"/>
                <w:sz w:val="24"/>
              </w:rPr>
              <w:t>高层建筑不低于10分，低、多层建筑不低于5分</w:t>
            </w:r>
          </w:p>
        </w:tc>
      </w:tr>
      <w:tr>
        <w:tblPrEx>
          <w:tblCellMar>
            <w:top w:w="0" w:type="dxa"/>
            <w:left w:w="108" w:type="dxa"/>
            <w:bottom w:w="0" w:type="dxa"/>
            <w:right w:w="108" w:type="dxa"/>
          </w:tblCellMar>
        </w:tblPrEx>
        <w:trPr>
          <w:trHeight w:val="402" w:hRule="atLeast"/>
        </w:trPr>
        <w:tc>
          <w:tcPr>
            <w:tcW w:w="110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Q2b</w:t>
            </w:r>
          </w:p>
        </w:tc>
        <w:tc>
          <w:tcPr>
            <w:tcW w:w="3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围护墙与保温、隔热、装饰集成一体化</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50%≤比例≤80%</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2～5*</w:t>
            </w:r>
          </w:p>
        </w:tc>
        <w:tc>
          <w:tcPr>
            <w:tcW w:w="851" w:type="dxa"/>
            <w:vMerge w:val="continue"/>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cs="宋体"/>
                <w:kern w:val="0"/>
                <w:sz w:val="24"/>
              </w:rPr>
            </w:pPr>
          </w:p>
        </w:tc>
      </w:tr>
      <w:tr>
        <w:trPr>
          <w:trHeight w:val="402" w:hRule="atLeast"/>
        </w:trPr>
        <w:tc>
          <w:tcPr>
            <w:tcW w:w="110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Q2c</w:t>
            </w:r>
          </w:p>
        </w:tc>
        <w:tc>
          <w:tcPr>
            <w:tcW w:w="3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内隔墙非砌筑</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比例≥50%</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5</w:t>
            </w:r>
          </w:p>
        </w:tc>
        <w:tc>
          <w:tcPr>
            <w:tcW w:w="851" w:type="dxa"/>
            <w:vMerge w:val="continue"/>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10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Q2d</w:t>
            </w:r>
          </w:p>
        </w:tc>
        <w:tc>
          <w:tcPr>
            <w:tcW w:w="3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内隔墙与管线、装修集成一体化</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50%≤比例≤80%</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2～5*</w:t>
            </w:r>
          </w:p>
        </w:tc>
        <w:tc>
          <w:tcPr>
            <w:tcW w:w="851" w:type="dxa"/>
            <w:vMerge w:val="continue"/>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cs="宋体"/>
                <w:kern w:val="0"/>
                <w:sz w:val="24"/>
              </w:rPr>
            </w:pPr>
          </w:p>
        </w:tc>
      </w:tr>
      <w:tr>
        <w:trPr>
          <w:trHeight w:val="402" w:hRule="atLeast"/>
        </w:trPr>
        <w:tc>
          <w:tcPr>
            <w:tcW w:w="1108"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Q3：装修和设备管线</w:t>
            </w:r>
            <w:r>
              <w:rPr>
                <w:rFonts w:hint="eastAsia" w:ascii="宋体" w:hAnsi="宋体" w:cs="宋体"/>
                <w:kern w:val="0"/>
                <w:sz w:val="24"/>
              </w:rPr>
              <w:br w:type="textWrapping"/>
            </w:r>
            <w:r>
              <w:rPr>
                <w:rFonts w:hint="eastAsia" w:ascii="宋体" w:hAnsi="宋体" w:cs="宋体"/>
                <w:kern w:val="0"/>
                <w:sz w:val="24"/>
              </w:rPr>
              <w:t>(40分)</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Q3a</w:t>
            </w:r>
          </w:p>
        </w:tc>
        <w:tc>
          <w:tcPr>
            <w:tcW w:w="8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全装修</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全装修</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851" w:type="dxa"/>
            <w:vMerge w:val="restar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702" w:hRule="atLeast"/>
        </w:trPr>
        <w:tc>
          <w:tcPr>
            <w:tcW w:w="110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收纳系统</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按固定储物柜配置项</w:t>
            </w:r>
            <w:r>
              <w:rPr>
                <w:rFonts w:ascii="宋体" w:hAnsi="宋体" w:cs="宋体"/>
                <w:kern w:val="0"/>
                <w:sz w:val="24"/>
              </w:rPr>
              <w:t>数</w:t>
            </w:r>
            <w:r>
              <w:rPr>
                <w:rFonts w:hint="eastAsia" w:ascii="宋体" w:hAnsi="宋体" w:cs="宋体"/>
                <w:kern w:val="0"/>
                <w:sz w:val="24"/>
              </w:rPr>
              <w:t>得分</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851" w:type="dxa"/>
            <w:vMerge w:val="continue"/>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cs="宋体"/>
                <w:kern w:val="0"/>
                <w:sz w:val="24"/>
              </w:rPr>
            </w:pPr>
          </w:p>
        </w:tc>
      </w:tr>
      <w:tr>
        <w:trPr>
          <w:trHeight w:val="402" w:hRule="atLeast"/>
        </w:trPr>
        <w:tc>
          <w:tcPr>
            <w:tcW w:w="110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Q3b</w:t>
            </w:r>
          </w:p>
        </w:tc>
        <w:tc>
          <w:tcPr>
            <w:tcW w:w="8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干式工法</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公共区域采用装配式吊顶</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比例≥50%</w:t>
            </w:r>
          </w:p>
        </w:tc>
        <w:tc>
          <w:tcPr>
            <w:tcW w:w="155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85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10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公共区域采用装配式墙面</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比例≥60%</w:t>
            </w:r>
          </w:p>
        </w:tc>
        <w:tc>
          <w:tcPr>
            <w:tcW w:w="155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85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p>
        </w:tc>
      </w:tr>
      <w:tr>
        <w:trPr>
          <w:trHeight w:val="402" w:hRule="atLeast"/>
        </w:trPr>
        <w:tc>
          <w:tcPr>
            <w:tcW w:w="110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公共区域采用装配式楼地面</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比例≥80%</w:t>
            </w:r>
          </w:p>
        </w:tc>
        <w:tc>
          <w:tcPr>
            <w:tcW w:w="155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85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10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户内区域、功能房间采用装配式吊顶</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比例≥50%</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1.5</w:t>
            </w:r>
          </w:p>
        </w:tc>
        <w:tc>
          <w:tcPr>
            <w:tcW w:w="851" w:type="dxa"/>
            <w:vMerge w:val="restar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p>
        </w:tc>
      </w:tr>
      <w:tr>
        <w:trPr>
          <w:trHeight w:val="402" w:hRule="atLeast"/>
        </w:trPr>
        <w:tc>
          <w:tcPr>
            <w:tcW w:w="110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户内区域、功能房间采用装配式墙面</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比例≥60%</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3.5</w:t>
            </w:r>
          </w:p>
        </w:tc>
        <w:tc>
          <w:tcPr>
            <w:tcW w:w="851" w:type="dxa"/>
            <w:vMerge w:val="continue"/>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10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户内区域、功能房间采用装配式楼地面</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50%≤比例≤80%</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1～2*</w:t>
            </w:r>
          </w:p>
        </w:tc>
        <w:tc>
          <w:tcPr>
            <w:tcW w:w="851" w:type="dxa"/>
            <w:vMerge w:val="continue"/>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cs="宋体"/>
                <w:kern w:val="0"/>
                <w:sz w:val="24"/>
              </w:rPr>
            </w:pPr>
          </w:p>
        </w:tc>
      </w:tr>
      <w:tr>
        <w:trPr>
          <w:trHeight w:val="402" w:hRule="atLeast"/>
        </w:trPr>
        <w:tc>
          <w:tcPr>
            <w:tcW w:w="110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Q3c</w:t>
            </w:r>
          </w:p>
        </w:tc>
        <w:tc>
          <w:tcPr>
            <w:tcW w:w="8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集成厨房</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采用装配式吊顶</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比例≥80%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w w:val="90"/>
                <w:kern w:val="0"/>
                <w:sz w:val="24"/>
              </w:rPr>
            </w:pPr>
            <w:r>
              <w:rPr>
                <w:rFonts w:hint="eastAsia" w:ascii="宋体" w:hAnsi="宋体" w:cs="宋体"/>
                <w:w w:val="90"/>
                <w:kern w:val="0"/>
                <w:sz w:val="24"/>
              </w:rPr>
              <w:t>1.5</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无厨房功能时该项可缺省</w:t>
            </w:r>
          </w:p>
        </w:tc>
        <w:tc>
          <w:tcPr>
            <w:tcW w:w="851" w:type="dxa"/>
            <w:vMerge w:val="restar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402" w:hRule="atLeast"/>
        </w:trPr>
        <w:tc>
          <w:tcPr>
            <w:tcW w:w="110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采用装配式墙面</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比例≥80%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w w:val="90"/>
                <w:kern w:val="0"/>
                <w:sz w:val="24"/>
              </w:rPr>
            </w:pPr>
            <w:r>
              <w:rPr>
                <w:rFonts w:hint="eastAsia" w:ascii="宋体" w:hAnsi="宋体" w:cs="宋体"/>
                <w:w w:val="90"/>
                <w:kern w:val="0"/>
                <w:sz w:val="24"/>
              </w:rPr>
              <w:t>4</w:t>
            </w:r>
          </w:p>
        </w:tc>
        <w:tc>
          <w:tcPr>
            <w:tcW w:w="99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1" w:type="dxa"/>
            <w:vMerge w:val="continue"/>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cs="宋体"/>
                <w:kern w:val="0"/>
                <w:sz w:val="24"/>
              </w:rPr>
            </w:pPr>
          </w:p>
        </w:tc>
      </w:tr>
      <w:tr>
        <w:trPr>
          <w:trHeight w:val="402" w:hRule="atLeast"/>
        </w:trPr>
        <w:tc>
          <w:tcPr>
            <w:tcW w:w="110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采用装配式楼地面</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比例≥80%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w w:val="90"/>
                <w:kern w:val="0"/>
                <w:sz w:val="24"/>
              </w:rPr>
            </w:pPr>
            <w:r>
              <w:rPr>
                <w:rFonts w:hint="eastAsia" w:ascii="宋体" w:hAnsi="宋体" w:cs="宋体"/>
                <w:w w:val="90"/>
                <w:kern w:val="0"/>
                <w:sz w:val="24"/>
              </w:rPr>
              <w:t>1.5</w:t>
            </w:r>
          </w:p>
        </w:tc>
        <w:tc>
          <w:tcPr>
            <w:tcW w:w="99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1" w:type="dxa"/>
            <w:vMerge w:val="continue"/>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10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Q3d</w:t>
            </w:r>
          </w:p>
        </w:tc>
        <w:tc>
          <w:tcPr>
            <w:tcW w:w="8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集成卫生间</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采用装配式吊顶</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比例≥80%</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1.5</w:t>
            </w:r>
          </w:p>
        </w:tc>
        <w:tc>
          <w:tcPr>
            <w:tcW w:w="851"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p>
        </w:tc>
      </w:tr>
      <w:tr>
        <w:trPr>
          <w:trHeight w:val="402" w:hRule="atLeast"/>
        </w:trPr>
        <w:tc>
          <w:tcPr>
            <w:tcW w:w="110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采用装配式墙面</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比例≥80%</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851" w:type="dxa"/>
            <w:vMerge w:val="continue"/>
            <w:tcBorders>
              <w:top w:val="nil"/>
              <w:left w:val="single" w:color="auto" w:sz="4" w:space="0"/>
              <w:bottom w:val="single" w:color="000000" w:sz="4" w:space="0"/>
              <w:right w:val="single" w:color="auto" w:sz="8"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10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采用装配式楼地面/整体防水底盘</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比例≥80%</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1.5</w:t>
            </w:r>
          </w:p>
        </w:tc>
        <w:tc>
          <w:tcPr>
            <w:tcW w:w="851" w:type="dxa"/>
            <w:vMerge w:val="continue"/>
            <w:tcBorders>
              <w:top w:val="nil"/>
              <w:left w:val="single" w:color="auto" w:sz="4" w:space="0"/>
              <w:bottom w:val="single" w:color="000000" w:sz="4" w:space="0"/>
              <w:right w:val="single" w:color="auto" w:sz="8" w:space="0"/>
            </w:tcBorders>
            <w:shd w:val="clear" w:color="auto" w:fill="auto"/>
            <w:vAlign w:val="center"/>
          </w:tcPr>
          <w:p>
            <w:pPr>
              <w:widowControl/>
              <w:jc w:val="left"/>
              <w:rPr>
                <w:rFonts w:ascii="宋体" w:hAnsi="宋体" w:cs="宋体"/>
                <w:kern w:val="0"/>
                <w:sz w:val="24"/>
              </w:rPr>
            </w:pPr>
          </w:p>
        </w:tc>
      </w:tr>
      <w:tr>
        <w:trPr>
          <w:trHeight w:val="402" w:hRule="atLeast"/>
        </w:trPr>
        <w:tc>
          <w:tcPr>
            <w:tcW w:w="110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Q3e</w:t>
            </w:r>
          </w:p>
        </w:tc>
        <w:tc>
          <w:tcPr>
            <w:tcW w:w="8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管线分离</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水管与主体构件分离</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50%≤比例≤70%</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1～2*</w:t>
            </w:r>
          </w:p>
        </w:tc>
        <w:tc>
          <w:tcPr>
            <w:tcW w:w="851" w:type="dxa"/>
            <w:vMerge w:val="restar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402" w:hRule="atLeast"/>
        </w:trPr>
        <w:tc>
          <w:tcPr>
            <w:tcW w:w="110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电气管线与主体构件分离</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35%≤比例≤70%</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1～4*</w:t>
            </w:r>
          </w:p>
        </w:tc>
        <w:tc>
          <w:tcPr>
            <w:tcW w:w="851" w:type="dxa"/>
            <w:vMerge w:val="continue"/>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cs="宋体"/>
                <w:kern w:val="0"/>
                <w:sz w:val="24"/>
              </w:rPr>
            </w:pPr>
          </w:p>
        </w:tc>
      </w:tr>
      <w:tr>
        <w:trPr>
          <w:trHeight w:val="582" w:hRule="atLeast"/>
        </w:trPr>
        <w:tc>
          <w:tcPr>
            <w:tcW w:w="1108"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通风管线、供暖管线与主体构件分离</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比例≥70%</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851" w:type="dxa"/>
            <w:vMerge w:val="continue"/>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108"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Q5：细化项</w:t>
            </w:r>
          </w:p>
          <w:p>
            <w:pPr>
              <w:widowControl/>
              <w:jc w:val="center"/>
              <w:rPr>
                <w:rFonts w:ascii="宋体" w:hAnsi="宋体" w:cs="宋体"/>
                <w:kern w:val="0"/>
                <w:sz w:val="24"/>
              </w:rPr>
            </w:pPr>
            <w:r>
              <w:rPr>
                <w:rFonts w:hint="eastAsia" w:ascii="宋体" w:hAnsi="宋体" w:cs="宋体"/>
                <w:kern w:val="0"/>
                <w:sz w:val="24"/>
              </w:rPr>
              <w:t>(</w:t>
            </w:r>
            <w:r>
              <w:rPr>
                <w:rFonts w:ascii="宋体" w:hAnsi="宋体" w:cs="宋体"/>
                <w:kern w:val="0"/>
                <w:sz w:val="24"/>
              </w:rPr>
              <w:t>15</w:t>
            </w:r>
            <w:r>
              <w:rPr>
                <w:rFonts w:hint="eastAsia" w:ascii="宋体" w:hAnsi="宋体" w:cs="宋体"/>
                <w:kern w:val="0"/>
                <w:sz w:val="24"/>
              </w:rPr>
              <w:t>分)</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Q51</w:t>
            </w:r>
          </w:p>
        </w:tc>
        <w:tc>
          <w:tcPr>
            <w:tcW w:w="8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Q51a</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主体结构竖向构件细化项</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5%≤比例＜30%</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7～10*</w:t>
            </w:r>
          </w:p>
        </w:tc>
        <w:tc>
          <w:tcPr>
            <w:tcW w:w="851" w:type="dxa"/>
            <w:vMerge w:val="restar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p>
        </w:tc>
      </w:tr>
      <w:tr>
        <w:trPr>
          <w:trHeight w:val="402" w:hRule="atLeast"/>
        </w:trPr>
        <w:tc>
          <w:tcPr>
            <w:tcW w:w="1108" w:type="dxa"/>
            <w:vMerge w:val="continue"/>
            <w:tcBorders>
              <w:top w:val="nil"/>
              <w:left w:val="single" w:color="auto" w:sz="8"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Q51b</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预制外墙板</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5%≤比例≤15%</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7～10*</w:t>
            </w:r>
          </w:p>
        </w:tc>
        <w:tc>
          <w:tcPr>
            <w:tcW w:w="851" w:type="dxa"/>
            <w:vMerge w:val="continue"/>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108" w:type="dxa"/>
            <w:vMerge w:val="continue"/>
            <w:tcBorders>
              <w:top w:val="nil"/>
              <w:left w:val="single" w:color="auto" w:sz="8"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Q52</w:t>
            </w:r>
          </w:p>
        </w:tc>
        <w:tc>
          <w:tcPr>
            <w:tcW w:w="8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围护墙和内隔墙细化项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围护墙与保温、隔热集成一体化</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50%≤比例≤80%</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1～2.5*</w:t>
            </w:r>
          </w:p>
        </w:tc>
        <w:tc>
          <w:tcPr>
            <w:tcW w:w="851" w:type="dxa"/>
            <w:vMerge w:val="restar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p>
        </w:tc>
      </w:tr>
      <w:tr>
        <w:trPr>
          <w:trHeight w:val="402" w:hRule="atLeast"/>
        </w:trPr>
        <w:tc>
          <w:tcPr>
            <w:tcW w:w="1108" w:type="dxa"/>
            <w:vMerge w:val="continue"/>
            <w:tcBorders>
              <w:top w:val="nil"/>
              <w:left w:val="single" w:color="auto" w:sz="8"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内隔墙与管线集成一体化</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50%≤比例≤80%</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1～2.5*</w:t>
            </w:r>
          </w:p>
        </w:tc>
        <w:tc>
          <w:tcPr>
            <w:tcW w:w="851" w:type="dxa"/>
            <w:vMerge w:val="continue"/>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108"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Q6：鼓励项</w:t>
            </w:r>
          </w:p>
          <w:p>
            <w:pPr>
              <w:widowControl/>
              <w:rPr>
                <w:rFonts w:ascii="宋体" w:hAnsi="宋体" w:cs="宋体"/>
                <w:kern w:val="0"/>
                <w:sz w:val="24"/>
              </w:rPr>
            </w:pPr>
            <w:r>
              <w:rPr>
                <w:rFonts w:hint="eastAsia" w:ascii="宋体" w:hAnsi="宋体" w:cs="宋体"/>
                <w:kern w:val="0"/>
                <w:sz w:val="24"/>
              </w:rPr>
              <w:t>（</w:t>
            </w:r>
            <w:r>
              <w:rPr>
                <w:rFonts w:ascii="宋体" w:hAnsi="宋体" w:cs="宋体"/>
                <w:kern w:val="0"/>
                <w:sz w:val="24"/>
              </w:rPr>
              <w:t>15</w:t>
            </w:r>
            <w:r>
              <w:rPr>
                <w:rFonts w:hint="eastAsia" w:ascii="宋体" w:hAnsi="宋体" w:cs="宋体"/>
                <w:kern w:val="0"/>
                <w:sz w:val="24"/>
              </w:rPr>
              <w:t>分)</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Q61</w:t>
            </w:r>
          </w:p>
        </w:tc>
        <w:tc>
          <w:tcPr>
            <w:tcW w:w="8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标准化设计鼓励项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模数协调</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0.5</w:t>
            </w:r>
          </w:p>
        </w:tc>
        <w:tc>
          <w:tcPr>
            <w:tcW w:w="851" w:type="dxa"/>
            <w:vMerge w:val="restar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p>
        </w:tc>
      </w:tr>
      <w:tr>
        <w:trPr>
          <w:trHeight w:val="402" w:hRule="atLeast"/>
        </w:trPr>
        <w:tc>
          <w:tcPr>
            <w:tcW w:w="1108" w:type="dxa"/>
            <w:vMerge w:val="continue"/>
            <w:tcBorders>
              <w:top w:val="nil"/>
              <w:left w:val="single" w:color="auto" w:sz="8" w:space="0"/>
              <w:bottom w:val="single" w:color="000000" w:sz="8"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平面布置标准化</w:t>
            </w:r>
          </w:p>
        </w:tc>
        <w:tc>
          <w:tcPr>
            <w:tcW w:w="212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851" w:type="dxa"/>
            <w:vMerge w:val="continue"/>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108" w:type="dxa"/>
            <w:vMerge w:val="continue"/>
            <w:tcBorders>
              <w:top w:val="nil"/>
              <w:left w:val="single" w:color="auto" w:sz="8" w:space="0"/>
              <w:bottom w:val="single" w:color="000000" w:sz="8"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w w:val="90"/>
                <w:kern w:val="0"/>
                <w:sz w:val="24"/>
              </w:rPr>
            </w:pPr>
            <w:r>
              <w:rPr>
                <w:rFonts w:hint="eastAsia" w:ascii="宋体" w:hAnsi="宋体" w:cs="宋体"/>
                <w:w w:val="90"/>
                <w:kern w:val="0"/>
                <w:sz w:val="24"/>
              </w:rPr>
              <w:t>预制构件与部品标准化</w:t>
            </w:r>
          </w:p>
        </w:tc>
        <w:tc>
          <w:tcPr>
            <w:tcW w:w="212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851" w:type="dxa"/>
            <w:vMerge w:val="continue"/>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cs="宋体"/>
                <w:kern w:val="0"/>
                <w:sz w:val="24"/>
              </w:rPr>
            </w:pPr>
          </w:p>
        </w:tc>
      </w:tr>
      <w:tr>
        <w:trPr>
          <w:trHeight w:val="402" w:hRule="atLeast"/>
        </w:trPr>
        <w:tc>
          <w:tcPr>
            <w:tcW w:w="1108" w:type="dxa"/>
            <w:vMerge w:val="continue"/>
            <w:tcBorders>
              <w:top w:val="nil"/>
              <w:left w:val="single" w:color="auto" w:sz="8" w:space="0"/>
              <w:bottom w:val="single" w:color="000000" w:sz="8"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节点标准化</w:t>
            </w:r>
          </w:p>
        </w:tc>
        <w:tc>
          <w:tcPr>
            <w:tcW w:w="212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0.5</w:t>
            </w:r>
          </w:p>
        </w:tc>
        <w:tc>
          <w:tcPr>
            <w:tcW w:w="851" w:type="dxa"/>
            <w:vMerge w:val="continue"/>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108" w:type="dxa"/>
            <w:vMerge w:val="continue"/>
            <w:tcBorders>
              <w:top w:val="nil"/>
              <w:left w:val="single" w:color="auto" w:sz="8" w:space="0"/>
              <w:bottom w:val="single" w:color="000000" w:sz="8"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Q62</w:t>
            </w:r>
          </w:p>
        </w:tc>
        <w:tc>
          <w:tcPr>
            <w:tcW w:w="8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绿色与信息化应用鼓励项</w:t>
            </w:r>
          </w:p>
        </w:tc>
        <w:tc>
          <w:tcPr>
            <w:tcW w:w="24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绿色建筑</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取得绿色建筑评价</w:t>
            </w:r>
            <w:r>
              <w:rPr>
                <w:rFonts w:hint="eastAsia" w:ascii="宋体" w:hAnsi="宋体" w:cs="宋体"/>
                <w:kern w:val="0"/>
                <w:sz w:val="24"/>
                <w:lang w:val="en-US" w:eastAsia="zh-CN"/>
              </w:rPr>
              <w:t>一</w:t>
            </w:r>
            <w:r>
              <w:rPr>
                <w:rFonts w:hint="eastAsia" w:ascii="宋体" w:hAnsi="宋体" w:cs="宋体"/>
                <w:kern w:val="0"/>
                <w:sz w:val="24"/>
              </w:rPr>
              <w:t>星</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0.5</w:t>
            </w:r>
          </w:p>
        </w:tc>
        <w:tc>
          <w:tcPr>
            <w:tcW w:w="851" w:type="dxa"/>
            <w:vMerge w:val="restar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p>
        </w:tc>
      </w:tr>
      <w:tr>
        <w:trPr>
          <w:trHeight w:val="402" w:hRule="atLeast"/>
        </w:trPr>
        <w:tc>
          <w:tcPr>
            <w:tcW w:w="1108" w:type="dxa"/>
            <w:vMerge w:val="continue"/>
            <w:tcBorders>
              <w:top w:val="nil"/>
              <w:left w:val="single" w:color="auto" w:sz="8" w:space="0"/>
              <w:bottom w:val="single" w:color="000000" w:sz="8"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取得绿色建筑评价</w:t>
            </w:r>
            <w:r>
              <w:rPr>
                <w:rFonts w:hint="eastAsia" w:ascii="宋体" w:hAnsi="宋体" w:cs="宋体"/>
                <w:kern w:val="0"/>
                <w:sz w:val="24"/>
                <w:lang w:val="en-US" w:eastAsia="zh-CN"/>
              </w:rPr>
              <w:t>二</w:t>
            </w:r>
            <w:r>
              <w:rPr>
                <w:rFonts w:hint="eastAsia" w:ascii="宋体" w:hAnsi="宋体" w:cs="宋体"/>
                <w:kern w:val="0"/>
                <w:sz w:val="24"/>
              </w:rPr>
              <w:t>星</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851" w:type="dxa"/>
            <w:vMerge w:val="continue"/>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108" w:type="dxa"/>
            <w:vMerge w:val="continue"/>
            <w:tcBorders>
              <w:top w:val="nil"/>
              <w:left w:val="single" w:color="auto" w:sz="8" w:space="0"/>
              <w:bottom w:val="single" w:color="000000" w:sz="8"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取得绿色建筑评价</w:t>
            </w:r>
            <w:r>
              <w:rPr>
                <w:rFonts w:hint="eastAsia" w:ascii="宋体" w:hAnsi="宋体" w:cs="宋体"/>
                <w:kern w:val="0"/>
                <w:sz w:val="24"/>
                <w:lang w:val="en-US" w:eastAsia="zh-CN"/>
              </w:rPr>
              <w:t>三</w:t>
            </w:r>
            <w:r>
              <w:rPr>
                <w:rFonts w:hint="eastAsia" w:ascii="宋体" w:hAnsi="宋体" w:cs="宋体"/>
                <w:kern w:val="0"/>
                <w:sz w:val="24"/>
              </w:rPr>
              <w:t>星</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1.5</w:t>
            </w:r>
          </w:p>
        </w:tc>
        <w:tc>
          <w:tcPr>
            <w:tcW w:w="851" w:type="dxa"/>
            <w:vMerge w:val="continue"/>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cs="宋体"/>
                <w:kern w:val="0"/>
                <w:sz w:val="24"/>
              </w:rPr>
            </w:pPr>
          </w:p>
        </w:tc>
      </w:tr>
      <w:tr>
        <w:trPr>
          <w:trHeight w:val="402" w:hRule="atLeast"/>
        </w:trPr>
        <w:tc>
          <w:tcPr>
            <w:tcW w:w="1108" w:type="dxa"/>
            <w:vMerge w:val="continue"/>
            <w:tcBorders>
              <w:top w:val="nil"/>
              <w:left w:val="single" w:color="auto" w:sz="8" w:space="0"/>
              <w:bottom w:val="single" w:color="000000" w:sz="8"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绿色建材</w:t>
            </w:r>
          </w:p>
          <w:p>
            <w:pPr>
              <w:widowControl/>
              <w:jc w:val="left"/>
              <w:rPr>
                <w:rFonts w:hint="eastAsia" w:ascii="宋体" w:hAnsi="宋体" w:cs="宋体"/>
                <w:kern w:val="0"/>
                <w:sz w:val="24"/>
              </w:rPr>
            </w:pPr>
          </w:p>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必选绿色建材7类+可选绿色建材3类</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2</w:t>
            </w:r>
          </w:p>
        </w:tc>
        <w:tc>
          <w:tcPr>
            <w:tcW w:w="851" w:type="dxa"/>
            <w:vMerge w:val="restart"/>
            <w:tcBorders>
              <w:top w:val="nil"/>
              <w:left w:val="nil"/>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402" w:hRule="atLeast"/>
        </w:trPr>
        <w:tc>
          <w:tcPr>
            <w:tcW w:w="1108" w:type="dxa"/>
            <w:vMerge w:val="continue"/>
            <w:tcBorders>
              <w:top w:val="nil"/>
              <w:left w:val="single" w:color="auto" w:sz="8" w:space="0"/>
              <w:bottom w:val="single" w:color="000000" w:sz="8"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必选绿色建材</w:t>
            </w:r>
            <w:r>
              <w:rPr>
                <w:rFonts w:ascii="宋体" w:hAnsi="宋体" w:cs="宋体"/>
                <w:kern w:val="0"/>
                <w:sz w:val="24"/>
              </w:rPr>
              <w:t>10</w:t>
            </w:r>
            <w:r>
              <w:rPr>
                <w:rFonts w:hint="eastAsia" w:ascii="宋体" w:hAnsi="宋体" w:cs="宋体"/>
                <w:kern w:val="0"/>
                <w:sz w:val="24"/>
              </w:rPr>
              <w:t>类+可选绿色建材3类</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3</w:t>
            </w:r>
          </w:p>
        </w:tc>
        <w:tc>
          <w:tcPr>
            <w:tcW w:w="851" w:type="dxa"/>
            <w:vMerge w:val="continue"/>
            <w:tcBorders>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p>
        </w:tc>
      </w:tr>
      <w:tr>
        <w:trPr>
          <w:trHeight w:val="402" w:hRule="atLeast"/>
        </w:trPr>
        <w:tc>
          <w:tcPr>
            <w:tcW w:w="1108" w:type="dxa"/>
            <w:vMerge w:val="continue"/>
            <w:tcBorders>
              <w:top w:val="nil"/>
              <w:left w:val="single" w:color="auto" w:sz="8" w:space="0"/>
              <w:bottom w:val="single" w:color="000000" w:sz="8"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4"/>
              </w:rPr>
            </w:pP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4"/>
              </w:rPr>
            </w:pPr>
            <w:r>
              <w:rPr>
                <w:rFonts w:hint="eastAsia" w:ascii="宋体" w:hAnsi="宋体" w:cs="宋体"/>
                <w:kern w:val="0"/>
                <w:sz w:val="24"/>
              </w:rPr>
              <w:t>必选绿色建材10类+可选绿色建材5类</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c>
          <w:tcPr>
            <w:tcW w:w="851" w:type="dxa"/>
            <w:tcBorders>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108" w:type="dxa"/>
            <w:vMerge w:val="continue"/>
            <w:tcBorders>
              <w:top w:val="nil"/>
              <w:left w:val="single" w:color="auto" w:sz="8" w:space="0"/>
              <w:bottom w:val="single" w:color="000000" w:sz="8"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BIM应用</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满足施工图设计应用要求</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85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p>
        </w:tc>
      </w:tr>
      <w:tr>
        <w:trPr>
          <w:trHeight w:val="402" w:hRule="atLeast"/>
        </w:trPr>
        <w:tc>
          <w:tcPr>
            <w:tcW w:w="1108" w:type="dxa"/>
            <w:vMerge w:val="continue"/>
            <w:tcBorders>
              <w:top w:val="nil"/>
              <w:left w:val="single" w:color="auto" w:sz="8" w:space="0"/>
              <w:bottom w:val="single" w:color="000000" w:sz="8"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满足深化设计应用要求</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1.5</w:t>
            </w:r>
          </w:p>
        </w:tc>
        <w:tc>
          <w:tcPr>
            <w:tcW w:w="85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402" w:hRule="atLeast"/>
        </w:trPr>
        <w:tc>
          <w:tcPr>
            <w:tcW w:w="1108" w:type="dxa"/>
            <w:vMerge w:val="continue"/>
            <w:tcBorders>
              <w:top w:val="nil"/>
              <w:left w:val="single" w:color="auto" w:sz="8" w:space="0"/>
              <w:bottom w:val="single" w:color="000000" w:sz="8"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Q63</w:t>
            </w:r>
          </w:p>
        </w:tc>
        <w:tc>
          <w:tcPr>
            <w:tcW w:w="858" w:type="dxa"/>
            <w:vMerge w:val="restart"/>
            <w:tcBorders>
              <w:top w:val="nil"/>
              <w:left w:val="single" w:color="auto" w:sz="4" w:space="0"/>
              <w:bottom w:val="single" w:color="000000" w:sz="8"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施工与管理鼓励项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智能建造</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评定为智能建造项目</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2.5</w:t>
            </w:r>
          </w:p>
        </w:tc>
        <w:tc>
          <w:tcPr>
            <w:tcW w:w="85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p>
        </w:tc>
      </w:tr>
      <w:tr>
        <w:trPr>
          <w:trHeight w:val="402" w:hRule="atLeast"/>
        </w:trPr>
        <w:tc>
          <w:tcPr>
            <w:tcW w:w="1108" w:type="dxa"/>
            <w:vMerge w:val="continue"/>
            <w:tcBorders>
              <w:top w:val="nil"/>
              <w:left w:val="single" w:color="auto" w:sz="8" w:space="0"/>
              <w:bottom w:val="single" w:color="000000" w:sz="8" w:space="0"/>
              <w:right w:val="single" w:color="auto" w:sz="4" w:space="0"/>
            </w:tcBorders>
            <w:shd w:val="clear" w:color="auto" w:fill="auto"/>
            <w:vAlign w:val="center"/>
          </w:tcPr>
          <w:p>
            <w:pPr>
              <w:widowControl/>
              <w:jc w:val="left"/>
              <w:rPr>
                <w:rFonts w:ascii="宋体" w:hAnsi="宋体" w:cs="宋体"/>
                <w:kern w:val="0"/>
                <w:sz w:val="24"/>
              </w:rPr>
            </w:pPr>
          </w:p>
        </w:tc>
        <w:tc>
          <w:tcPr>
            <w:tcW w:w="576" w:type="dxa"/>
            <w:vMerge w:val="continue"/>
            <w:tcBorders>
              <w:top w:val="nil"/>
              <w:left w:val="single" w:color="auto" w:sz="4" w:space="0"/>
              <w:bottom w:val="single" w:color="000000" w:sz="8" w:space="0"/>
              <w:right w:val="single" w:color="auto" w:sz="4" w:space="0"/>
            </w:tcBorders>
            <w:shd w:val="clear" w:color="auto" w:fill="auto"/>
            <w:vAlign w:val="center"/>
          </w:tcPr>
          <w:p>
            <w:pPr>
              <w:widowControl/>
              <w:jc w:val="left"/>
              <w:rPr>
                <w:rFonts w:ascii="宋体" w:hAnsi="宋体" w:cs="宋体"/>
                <w:kern w:val="0"/>
                <w:sz w:val="24"/>
              </w:rPr>
            </w:pPr>
          </w:p>
        </w:tc>
        <w:tc>
          <w:tcPr>
            <w:tcW w:w="858" w:type="dxa"/>
            <w:vMerge w:val="continue"/>
            <w:tcBorders>
              <w:top w:val="nil"/>
              <w:left w:val="single" w:color="auto" w:sz="4" w:space="0"/>
              <w:bottom w:val="single" w:color="000000" w:sz="8" w:space="0"/>
              <w:right w:val="single" w:color="auto" w:sz="4" w:space="0"/>
            </w:tcBorders>
            <w:shd w:val="clear" w:color="auto" w:fill="auto"/>
            <w:vAlign w:val="center"/>
          </w:tcPr>
          <w:p>
            <w:pPr>
              <w:widowControl/>
              <w:jc w:val="left"/>
              <w:rPr>
                <w:rFonts w:ascii="宋体" w:hAnsi="宋体" w:cs="宋体"/>
                <w:kern w:val="0"/>
                <w:sz w:val="24"/>
              </w:rPr>
            </w:pPr>
          </w:p>
        </w:tc>
        <w:tc>
          <w:tcPr>
            <w:tcW w:w="2410"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工程总承包</w:t>
            </w:r>
          </w:p>
        </w:tc>
        <w:tc>
          <w:tcPr>
            <w:tcW w:w="2126"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一家单位/联合体单位</w:t>
            </w:r>
          </w:p>
        </w:tc>
        <w:tc>
          <w:tcPr>
            <w:tcW w:w="1559" w:type="dxa"/>
            <w:gridSpan w:val="2"/>
            <w:tcBorders>
              <w:top w:val="single" w:color="auto" w:sz="4" w:space="0"/>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0.5</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p>
        </w:tc>
      </w:tr>
    </w:tbl>
    <w:p>
      <w:pPr>
        <w:tabs>
          <w:tab w:val="left" w:pos="993"/>
        </w:tabs>
        <w:rPr>
          <w:rFonts w:ascii="宋体" w:hAnsi="宋体"/>
          <w:sz w:val="22"/>
          <w:szCs w:val="22"/>
        </w:rPr>
      </w:pPr>
      <w:r>
        <w:rPr>
          <w:rFonts w:hint="eastAsia" w:ascii="宋体" w:hAnsi="宋体"/>
          <w:sz w:val="22"/>
          <w:szCs w:val="22"/>
        </w:rPr>
        <w:t>注1： 表中带“*”项的分值采用“内插法”计算，计算结果取小数点后1 位。</w:t>
      </w:r>
    </w:p>
    <w:p>
      <w:pPr>
        <w:tabs>
          <w:tab w:val="left" w:pos="993"/>
        </w:tabs>
        <w:rPr>
          <w:rFonts w:ascii="宋体" w:hAnsi="宋体"/>
          <w:sz w:val="22"/>
          <w:szCs w:val="22"/>
        </w:rPr>
      </w:pPr>
      <w:r>
        <w:rPr>
          <w:rFonts w:hint="eastAsia" w:ascii="宋体" w:hAnsi="宋体"/>
          <w:sz w:val="22"/>
          <w:szCs w:val="22"/>
        </w:rPr>
        <w:t>注2： Q51合计得分如大于10分，按10分计算，Q51a不应与Q1a同时得分，Q1最低得分可包含Q51得分，Q1与Q51合计得分不大于40分；Q52不应与Q2b、Q2d同时得分，Q2最低得分可包含Q52得分。</w:t>
      </w:r>
    </w:p>
    <w:p>
      <w:pPr>
        <w:tabs>
          <w:tab w:val="left" w:pos="993"/>
        </w:tabs>
        <w:rPr>
          <w:rFonts w:ascii="宋体" w:hAnsi="宋体"/>
          <w:sz w:val="22"/>
          <w:szCs w:val="22"/>
        </w:rPr>
      </w:pPr>
      <w:r>
        <w:rPr>
          <w:rFonts w:hint="eastAsia" w:ascii="宋体" w:hAnsi="宋体"/>
          <w:sz w:val="22"/>
          <w:szCs w:val="22"/>
        </w:rPr>
        <w:t>注3： 单元式幕墙满足保温、隔热节能指标时，可参照Q2b进行评价。</w:t>
      </w:r>
    </w:p>
    <w:p>
      <w:pPr>
        <w:pStyle w:val="34"/>
        <w:spacing w:line="240" w:lineRule="auto"/>
        <w:ind w:firstLine="0" w:firstLineChars="0"/>
        <w:rPr>
          <w:rFonts w:ascii="宋体" w:hAnsi="宋体" w:eastAsia="宋体"/>
          <w:sz w:val="22"/>
          <w:szCs w:val="22"/>
        </w:rPr>
      </w:pPr>
      <w:r>
        <w:rPr>
          <w:rFonts w:hint="eastAsia" w:ascii="宋体" w:hAnsi="宋体" w:eastAsia="宋体"/>
          <w:sz w:val="22"/>
          <w:szCs w:val="22"/>
        </w:rPr>
        <w:t>注</w:t>
      </w:r>
      <w:r>
        <w:rPr>
          <w:rFonts w:ascii="宋体" w:hAnsi="宋体" w:eastAsia="宋体"/>
          <w:sz w:val="22"/>
          <w:szCs w:val="22"/>
        </w:rPr>
        <w:t>4</w:t>
      </w:r>
      <w:r>
        <w:rPr>
          <w:rFonts w:hint="eastAsia" w:ascii="宋体" w:hAnsi="宋体" w:eastAsia="宋体"/>
          <w:sz w:val="22"/>
          <w:szCs w:val="22"/>
        </w:rPr>
        <w:t>： Q3e通风管线、供暖管线与主体构件分离项，当住宅建筑户内无通风、空调、采暖管线时此项不得分；</w:t>
      </w:r>
    </w:p>
    <w:p>
      <w:pPr>
        <w:pStyle w:val="34"/>
        <w:spacing w:line="240" w:lineRule="auto"/>
        <w:ind w:firstLine="0" w:firstLineChars="0"/>
        <w:rPr>
          <w:rFonts w:ascii="宋体" w:hAnsi="宋体" w:eastAsia="宋体"/>
          <w:sz w:val="22"/>
          <w:szCs w:val="22"/>
        </w:rPr>
      </w:pPr>
      <w:r>
        <w:rPr>
          <w:rFonts w:hint="eastAsia" w:ascii="宋体" w:hAnsi="宋体" w:eastAsia="宋体"/>
          <w:sz w:val="22"/>
          <w:szCs w:val="22"/>
        </w:rPr>
        <w:t>注</w:t>
      </w:r>
      <w:r>
        <w:rPr>
          <w:rFonts w:ascii="宋体" w:hAnsi="宋体" w:eastAsia="宋体"/>
          <w:sz w:val="22"/>
          <w:szCs w:val="22"/>
        </w:rPr>
        <w:t>5</w:t>
      </w:r>
      <w:r>
        <w:rPr>
          <w:rFonts w:hint="eastAsia" w:ascii="宋体" w:hAnsi="宋体" w:eastAsia="宋体"/>
          <w:sz w:val="22"/>
          <w:szCs w:val="22"/>
        </w:rPr>
        <w:t>： 当建筑满足佛山市《佛山市装配化装修评价指引》50分以上（设计</w:t>
      </w:r>
      <w:r>
        <w:rPr>
          <w:rFonts w:ascii="宋体" w:hAnsi="宋体" w:eastAsia="宋体"/>
          <w:sz w:val="22"/>
          <w:szCs w:val="22"/>
        </w:rPr>
        <w:t>阶段评分</w:t>
      </w:r>
      <w:r>
        <w:rPr>
          <w:rFonts w:hint="eastAsia" w:ascii="宋体" w:hAnsi="宋体" w:eastAsia="宋体"/>
          <w:sz w:val="22"/>
          <w:szCs w:val="22"/>
        </w:rPr>
        <w:t>）时，Q3项直接得25分。</w:t>
      </w:r>
    </w:p>
    <w:p>
      <w:pPr>
        <w:pStyle w:val="34"/>
        <w:ind w:firstLine="0" w:firstLineChars="0"/>
        <w:rPr>
          <w:rFonts w:ascii="宋体" w:hAnsi="宋体" w:eastAsia="宋体" w:cs="Times New Roman"/>
          <w:b/>
          <w:iCs w:val="0"/>
          <w:sz w:val="28"/>
          <w:szCs w:val="28"/>
          <w:shd w:val="clear" w:color="auto" w:fill="auto"/>
        </w:rPr>
        <w:sectPr>
          <w:pgSz w:w="11906" w:h="16838"/>
          <w:pgMar w:top="1418" w:right="1418" w:bottom="1418" w:left="1418" w:header="851" w:footer="992" w:gutter="0"/>
          <w:cols w:space="720" w:num="1"/>
          <w:docGrid w:type="lines" w:linePitch="312" w:charSpace="0"/>
        </w:sectPr>
      </w:pPr>
    </w:p>
    <w:p>
      <w:pPr>
        <w:pStyle w:val="45"/>
        <w:spacing w:before="156" w:after="156"/>
        <w:rPr>
          <w:rFonts w:ascii="宋体" w:hAnsi="宋体"/>
          <w:szCs w:val="28"/>
        </w:rPr>
      </w:pPr>
      <w:bookmarkStart w:id="10" w:name="_Toc133412693"/>
      <w:r>
        <w:rPr>
          <w:rFonts w:hint="eastAsia" w:ascii="宋体" w:hAnsi="宋体"/>
          <w:szCs w:val="28"/>
        </w:rPr>
        <w:t>4</w:t>
      </w:r>
      <w:r>
        <w:rPr>
          <w:rFonts w:ascii="宋体" w:hAnsi="宋体"/>
          <w:szCs w:val="28"/>
        </w:rPr>
        <w:t xml:space="preserve">.2 </w:t>
      </w:r>
      <w:r>
        <w:rPr>
          <w:rFonts w:hint="eastAsia" w:ascii="宋体" w:hAnsi="宋体"/>
          <w:szCs w:val="28"/>
        </w:rPr>
        <w:t>主体结构</w:t>
      </w:r>
      <w:bookmarkEnd w:id="10"/>
    </w:p>
    <w:p>
      <w:pPr>
        <w:pStyle w:val="24"/>
        <w:rPr>
          <w:rFonts w:ascii="宋体" w:hAnsi="宋体"/>
        </w:rPr>
      </w:pPr>
      <w:r>
        <w:rPr>
          <w:rFonts w:hint="eastAsia" w:ascii="宋体" w:hAnsi="宋体"/>
          <w:b/>
        </w:rPr>
        <w:t>4.</w:t>
      </w:r>
      <w:r>
        <w:rPr>
          <w:rFonts w:ascii="宋体" w:hAnsi="宋体"/>
          <w:b/>
        </w:rPr>
        <w:t>2</w:t>
      </w:r>
      <w:r>
        <w:rPr>
          <w:rFonts w:hint="eastAsia" w:ascii="宋体" w:hAnsi="宋体"/>
          <w:b/>
        </w:rPr>
        <w:t>.1</w:t>
      </w:r>
      <w:r>
        <w:rPr>
          <w:rFonts w:ascii="宋体" w:hAnsi="宋体"/>
        </w:rPr>
        <w:tab/>
      </w:r>
      <w:r>
        <w:rPr>
          <w:rFonts w:hint="eastAsia" w:ascii="宋体" w:hAnsi="宋体"/>
        </w:rPr>
        <w:t>柱、支撑、承重墙、延性墙板等主体结构竖向构件主要采用混凝土材料时，</w:t>
      </w:r>
      <w:bookmarkStart w:id="11" w:name="_Hlk16089995"/>
      <w:r>
        <w:rPr>
          <w:rFonts w:hint="eastAsia" w:ascii="宋体" w:hAnsi="宋体"/>
        </w:rPr>
        <w:t>预制部品部件的应用比例</w:t>
      </w:r>
      <w:bookmarkEnd w:id="11"/>
      <w:r>
        <w:rPr>
          <w:rFonts w:hint="eastAsia" w:ascii="宋体" w:hAnsi="宋体"/>
        </w:rPr>
        <w:t>按下列公式计算：</w:t>
      </w:r>
    </w:p>
    <w:p>
      <w:pPr>
        <w:pStyle w:val="40"/>
        <w:rPr>
          <w:rFonts w:ascii="宋体" w:hAnsi="宋体"/>
          <w:szCs w:val="28"/>
        </w:rPr>
      </w:pPr>
      <w:r>
        <w:rPr>
          <w:rFonts w:ascii="宋体" w:hAnsi="宋体"/>
          <w:szCs w:val="28"/>
        </w:rPr>
        <w:tab/>
      </w:r>
      <w:r>
        <w:rPr>
          <w:rFonts w:ascii="宋体" w:hAnsi="宋体"/>
          <w:position w:val="-28"/>
          <w:szCs w:val="28"/>
        </w:rPr>
        <w:object>
          <v:shape id="_x0000_i1026" o:spt="75" type="#_x0000_t75" style="height:36pt;width:92.4pt;" o:ole="t" filled="f" o:preferrelative="t" stroked="f" coordsize="21600,21600">
            <v:path/>
            <v:fill on="f" focussize="0,0"/>
            <v:stroke on="f" joinstyle="miter"/>
            <v:imagedata r:id="rId16" o:title=""/>
            <o:lock v:ext="edit" aspectratio="t"/>
            <w10:wrap type="none"/>
            <w10:anchorlock/>
          </v:shape>
          <o:OLEObject Type="Embed" ProgID="Equation.DSMT4" ShapeID="_x0000_i1026" DrawAspect="Content" ObjectID="_1468075726" r:id="rId15">
            <o:LockedField>false</o:LockedField>
          </o:OLEObject>
        </w:object>
      </w:r>
      <w:r>
        <w:rPr>
          <w:rFonts w:ascii="宋体" w:hAnsi="宋体"/>
          <w:szCs w:val="28"/>
        </w:rPr>
        <w:tab/>
      </w:r>
      <w:r>
        <w:rPr>
          <w:rFonts w:hint="eastAsia" w:ascii="宋体" w:hAnsi="宋体"/>
          <w:szCs w:val="28"/>
        </w:rPr>
        <w:t>（4</w:t>
      </w:r>
      <w:r>
        <w:rPr>
          <w:rFonts w:ascii="宋体" w:hAnsi="宋体"/>
          <w:szCs w:val="28"/>
        </w:rPr>
        <w:t>.2.1</w:t>
      </w:r>
      <w:r>
        <w:rPr>
          <w:rFonts w:hint="eastAsia" w:ascii="宋体" w:hAnsi="宋体"/>
          <w:szCs w:val="28"/>
        </w:rPr>
        <w:t>）</w:t>
      </w:r>
    </w:p>
    <w:p>
      <w:pPr>
        <w:pStyle w:val="38"/>
        <w:ind w:left="1680" w:hanging="1680" w:hangingChars="600"/>
        <w:rPr>
          <w:rFonts w:ascii="宋体" w:hAnsi="宋体"/>
        </w:rPr>
      </w:pPr>
      <w:r>
        <w:rPr>
          <w:rFonts w:hint="eastAsia" w:ascii="宋体" w:hAnsi="宋体"/>
        </w:rPr>
        <w:t>式中：</w:t>
      </w:r>
      <w:r>
        <w:rPr>
          <w:rFonts w:ascii="宋体" w:hAnsi="宋体"/>
        </w:rPr>
        <w:t>q</w:t>
      </w:r>
      <w:r>
        <w:rPr>
          <w:rFonts w:hint="eastAsia" w:ascii="宋体" w:hAnsi="宋体"/>
          <w:vertAlign w:val="subscript"/>
        </w:rPr>
        <w:t>1</w:t>
      </w:r>
      <w:r>
        <w:rPr>
          <w:rFonts w:ascii="宋体" w:hAnsi="宋体"/>
          <w:vertAlign w:val="subscript"/>
        </w:rPr>
        <w:t>a</w:t>
      </w:r>
      <w:r>
        <w:rPr>
          <w:rFonts w:hint="eastAsia" w:ascii="宋体" w:hAnsi="宋体"/>
        </w:rPr>
        <w:t>——柱、支撑、承重墙、延性墙板等主体结构竖向构件中预制部品部件的应用比例；</w:t>
      </w:r>
    </w:p>
    <w:p>
      <w:pPr>
        <w:pStyle w:val="26"/>
        <w:ind w:left="1678" w:hanging="840" w:hangingChars="300"/>
        <w:rPr>
          <w:rFonts w:ascii="宋体" w:hAnsi="宋体"/>
        </w:rPr>
      </w:pPr>
      <w:r>
        <w:rPr>
          <w:rFonts w:hint="eastAsia" w:ascii="宋体" w:hAnsi="宋体"/>
        </w:rPr>
        <w:t>V</w:t>
      </w:r>
      <w:r>
        <w:rPr>
          <w:rFonts w:hint="eastAsia" w:ascii="宋体" w:hAnsi="宋体"/>
          <w:vertAlign w:val="subscript"/>
        </w:rPr>
        <w:t>1</w:t>
      </w:r>
      <w:r>
        <w:rPr>
          <w:rFonts w:ascii="宋体" w:hAnsi="宋体"/>
          <w:vertAlign w:val="subscript"/>
        </w:rPr>
        <w:t>a</w:t>
      </w:r>
      <w:r>
        <w:rPr>
          <w:rFonts w:hint="eastAsia" w:ascii="宋体" w:hAnsi="宋体"/>
        </w:rPr>
        <w:t>——柱、支撑、承重墙、延性墙板等主体结构竖向构件中预制混凝土体积之和，符合本指引第4.</w:t>
      </w:r>
      <w:r>
        <w:rPr>
          <w:rFonts w:ascii="宋体" w:hAnsi="宋体"/>
        </w:rPr>
        <w:t>2.2</w:t>
      </w:r>
      <w:r>
        <w:rPr>
          <w:rFonts w:hint="eastAsia" w:ascii="宋体" w:hAnsi="宋体"/>
        </w:rPr>
        <w:t>条规定的预制构件间连续部分的后浇混凝土也可以计入计算；</w:t>
      </w:r>
    </w:p>
    <w:p>
      <w:pPr>
        <w:pStyle w:val="26"/>
        <w:ind w:left="1678" w:hanging="840" w:hangingChars="300"/>
        <w:rPr>
          <w:rFonts w:ascii="宋体" w:hAnsi="宋体"/>
        </w:rPr>
      </w:pPr>
      <w:r>
        <w:rPr>
          <w:rFonts w:hint="eastAsia" w:ascii="宋体" w:hAnsi="宋体"/>
        </w:rPr>
        <w:t>V——柱、支撑、承重墙、延性墙板等主体结构竖向构件混凝土总体积。</w:t>
      </w:r>
    </w:p>
    <w:p>
      <w:pPr>
        <w:pStyle w:val="24"/>
        <w:rPr>
          <w:rFonts w:ascii="宋体" w:hAnsi="宋体"/>
        </w:rPr>
      </w:pPr>
      <w:r>
        <w:rPr>
          <w:rFonts w:hint="eastAsia" w:ascii="宋体" w:hAnsi="宋体"/>
          <w:b/>
        </w:rPr>
        <w:t>4</w:t>
      </w:r>
      <w:r>
        <w:rPr>
          <w:rFonts w:ascii="宋体" w:hAnsi="宋体"/>
          <w:b/>
        </w:rPr>
        <w:t>.2.2</w:t>
      </w:r>
      <w:r>
        <w:rPr>
          <w:rFonts w:ascii="宋体" w:hAnsi="宋体"/>
        </w:rPr>
        <w:tab/>
      </w:r>
      <w:r>
        <w:rPr>
          <w:rFonts w:hint="eastAsia" w:ascii="宋体" w:hAnsi="宋体"/>
        </w:rPr>
        <w:t>当符合下列规定时，主体结构竖向构件间连接部分的后浇混凝土可计入预制混凝土体积计算：</w:t>
      </w:r>
    </w:p>
    <w:p>
      <w:pPr>
        <w:pStyle w:val="47"/>
        <w:ind w:firstLine="560"/>
        <w:rPr>
          <w:rFonts w:ascii="宋体" w:hAnsi="宋体"/>
        </w:rPr>
      </w:pPr>
      <w:r>
        <w:rPr>
          <w:rFonts w:hint="eastAsia" w:ascii="宋体" w:hAnsi="宋体"/>
        </w:rPr>
        <w:t>1</w:t>
      </w:r>
      <w:r>
        <w:rPr>
          <w:rFonts w:ascii="宋体" w:hAnsi="宋体"/>
        </w:rPr>
        <w:t xml:space="preserve"> </w:t>
      </w:r>
      <w:r>
        <w:rPr>
          <w:rFonts w:hint="eastAsia" w:ascii="宋体" w:hAnsi="宋体"/>
        </w:rPr>
        <w:t>预制剪力墙板之间宽度不大于600mm的竖向现浇段和高度不大于300mm的水平后浇带、圈梁的后浇混凝土体积，预制剪力墙转角或端部边缘构件长度不大于400mm（不含墙厚）的后浇混凝土体积。</w:t>
      </w:r>
    </w:p>
    <w:p>
      <w:pPr>
        <w:pStyle w:val="47"/>
        <w:ind w:firstLine="560"/>
        <w:rPr>
          <w:rFonts w:ascii="宋体" w:hAnsi="宋体"/>
        </w:rPr>
      </w:pPr>
      <w:r>
        <w:rPr>
          <w:rFonts w:hint="eastAsia" w:ascii="宋体" w:hAnsi="宋体"/>
        </w:rPr>
        <w:t>2 预制框架柱和框架梁之间柱梁节点区的后浇混凝土体积；</w:t>
      </w:r>
    </w:p>
    <w:p>
      <w:pPr>
        <w:pStyle w:val="47"/>
        <w:ind w:firstLine="560"/>
        <w:rPr>
          <w:rFonts w:ascii="宋体" w:hAnsi="宋体"/>
        </w:rPr>
      </w:pPr>
      <w:r>
        <w:rPr>
          <w:rFonts w:hint="eastAsia" w:ascii="宋体" w:hAnsi="宋体"/>
        </w:rPr>
        <w:t>3 预制柱间高度不大于柱截面较小尺寸的连接区后浇混凝土体积。</w:t>
      </w:r>
    </w:p>
    <w:p>
      <w:pPr>
        <w:pStyle w:val="24"/>
        <w:rPr>
          <w:rFonts w:ascii="宋体" w:hAnsi="宋体"/>
        </w:rPr>
      </w:pPr>
      <w:r>
        <w:rPr>
          <w:rFonts w:hint="eastAsia" w:ascii="宋体" w:hAnsi="宋体"/>
          <w:b/>
        </w:rPr>
        <w:t>4</w:t>
      </w:r>
      <w:r>
        <w:rPr>
          <w:rFonts w:ascii="宋体" w:hAnsi="宋体"/>
          <w:b/>
        </w:rPr>
        <w:t>.2.3</w:t>
      </w:r>
      <w:r>
        <w:rPr>
          <w:rFonts w:ascii="宋体" w:hAnsi="宋体"/>
        </w:rPr>
        <w:tab/>
      </w:r>
      <w:r>
        <w:rPr>
          <w:rFonts w:hint="eastAsia" w:ascii="宋体" w:hAnsi="宋体"/>
        </w:rPr>
        <w:t>主体结构为装配式钢结构或</w:t>
      </w:r>
      <w:r>
        <w:rPr>
          <w:rFonts w:ascii="宋体" w:hAnsi="宋体"/>
        </w:rPr>
        <w:t>钢</w:t>
      </w:r>
      <w:r>
        <w:rPr>
          <w:rFonts w:hint="eastAsia" w:ascii="宋体" w:hAnsi="宋体"/>
        </w:rPr>
        <w:t>-混凝土</w:t>
      </w:r>
      <w:r>
        <w:rPr>
          <w:rFonts w:ascii="宋体" w:hAnsi="宋体"/>
        </w:rPr>
        <w:t>混合结构</w:t>
      </w:r>
      <w:r>
        <w:rPr>
          <w:rFonts w:hint="eastAsia" w:ascii="宋体" w:hAnsi="宋体"/>
        </w:rPr>
        <w:t>时，评价项分值</w:t>
      </w:r>
      <w:r>
        <w:rPr>
          <w:rFonts w:ascii="宋体" w:hAnsi="宋体"/>
        </w:rPr>
        <w:t>按下列情况计算</w:t>
      </w:r>
      <w:r>
        <w:rPr>
          <w:rFonts w:hint="eastAsia" w:ascii="宋体" w:hAnsi="宋体"/>
        </w:rPr>
        <w:t>：</w:t>
      </w:r>
    </w:p>
    <w:p>
      <w:pPr>
        <w:pStyle w:val="47"/>
        <w:ind w:firstLine="560"/>
        <w:rPr>
          <w:rFonts w:ascii="宋体" w:hAnsi="宋体"/>
        </w:rPr>
      </w:pPr>
      <w:r>
        <w:rPr>
          <w:rFonts w:hint="eastAsia" w:ascii="宋体" w:hAnsi="宋体"/>
        </w:rPr>
        <w:t>1</w:t>
      </w:r>
      <w:r>
        <w:rPr>
          <w:rFonts w:ascii="宋体" w:hAnsi="宋体"/>
        </w:rPr>
        <w:t xml:space="preserve"> </w:t>
      </w:r>
      <w:r>
        <w:rPr>
          <w:rFonts w:hint="eastAsia" w:ascii="宋体" w:hAnsi="宋体"/>
        </w:rPr>
        <w:t>竖向</w:t>
      </w:r>
      <w:r>
        <w:rPr>
          <w:rFonts w:ascii="宋体" w:hAnsi="宋体"/>
        </w:rPr>
        <w:t>构件</w:t>
      </w:r>
      <w:r>
        <w:rPr>
          <w:rFonts w:hint="eastAsia" w:ascii="宋体" w:hAnsi="宋体"/>
        </w:rPr>
        <w:t>全部采用钢构件，得</w:t>
      </w:r>
      <w:r>
        <w:rPr>
          <w:rFonts w:ascii="宋体" w:hAnsi="宋体"/>
        </w:rPr>
        <w:t>24</w:t>
      </w:r>
      <w:r>
        <w:rPr>
          <w:rFonts w:hint="eastAsia" w:ascii="宋体" w:hAnsi="宋体"/>
        </w:rPr>
        <w:t>分。</w:t>
      </w:r>
    </w:p>
    <w:p>
      <w:pPr>
        <w:pStyle w:val="47"/>
        <w:ind w:firstLine="560"/>
        <w:rPr>
          <w:rFonts w:ascii="宋体" w:hAnsi="宋体"/>
        </w:rPr>
      </w:pPr>
      <w:r>
        <w:rPr>
          <w:rFonts w:hint="eastAsia" w:ascii="宋体" w:hAnsi="宋体"/>
        </w:rPr>
        <w:t>2</w:t>
      </w:r>
      <w:r>
        <w:rPr>
          <w:rFonts w:ascii="宋体" w:hAnsi="宋体"/>
        </w:rPr>
        <w:t xml:space="preserve"> </w:t>
      </w:r>
      <w:r>
        <w:rPr>
          <w:rFonts w:hint="eastAsia" w:ascii="宋体" w:hAnsi="宋体"/>
        </w:rPr>
        <w:t>框架柱采用钢柱或外包钢-混凝土组合柱，剪力墙采用外包钢-混凝土组合剪力墙时，得</w:t>
      </w:r>
      <w:r>
        <w:rPr>
          <w:rFonts w:ascii="宋体" w:hAnsi="宋体"/>
        </w:rPr>
        <w:t>20</w:t>
      </w:r>
      <w:r>
        <w:rPr>
          <w:rFonts w:hint="eastAsia" w:ascii="宋体" w:hAnsi="宋体"/>
        </w:rPr>
        <w:t>分。</w:t>
      </w:r>
    </w:p>
    <w:p>
      <w:pPr>
        <w:pStyle w:val="47"/>
        <w:ind w:firstLine="560"/>
        <w:rPr>
          <w:rStyle w:val="57"/>
          <w:rFonts w:ascii="宋体" w:hAnsi="宋体"/>
          <w:i w:val="0"/>
          <w:sz w:val="28"/>
          <w:szCs w:val="28"/>
        </w:rPr>
      </w:pPr>
      <w:r>
        <w:rPr>
          <w:rFonts w:ascii="宋体" w:hAnsi="宋体"/>
        </w:rPr>
        <w:t xml:space="preserve">3 </w:t>
      </w:r>
      <w:r>
        <w:rPr>
          <w:rFonts w:hint="eastAsia" w:ascii="宋体" w:hAnsi="宋体"/>
        </w:rPr>
        <w:t>框架柱采用钢柱或外包钢-混凝土组合柱，剪力墙采用混凝土剪力墙（含型钢混凝土</w:t>
      </w:r>
      <w:r>
        <w:rPr>
          <w:rFonts w:ascii="宋体" w:hAnsi="宋体"/>
        </w:rPr>
        <w:t>剪力墙</w:t>
      </w:r>
      <w:r>
        <w:rPr>
          <w:rFonts w:hint="eastAsia" w:ascii="宋体" w:hAnsi="宋体"/>
        </w:rPr>
        <w:t>、型钢</w:t>
      </w:r>
      <w:r>
        <w:rPr>
          <w:rFonts w:ascii="宋体" w:hAnsi="宋体"/>
        </w:rPr>
        <w:t>（</w:t>
      </w:r>
      <w:r>
        <w:rPr>
          <w:rFonts w:hint="eastAsia" w:ascii="宋体" w:hAnsi="宋体"/>
        </w:rPr>
        <w:t>钢管</w:t>
      </w:r>
      <w:r>
        <w:rPr>
          <w:rFonts w:ascii="宋体" w:hAnsi="宋体"/>
        </w:rPr>
        <w:t>）</w:t>
      </w:r>
      <w:r>
        <w:rPr>
          <w:rFonts w:hint="eastAsia" w:ascii="宋体" w:hAnsi="宋体"/>
        </w:rPr>
        <w:t>混凝土</w:t>
      </w:r>
      <w:r>
        <w:rPr>
          <w:rFonts w:ascii="宋体" w:hAnsi="宋体"/>
        </w:rPr>
        <w:t>剪力墙、</w:t>
      </w:r>
      <w:r>
        <w:rPr>
          <w:rFonts w:hint="eastAsia" w:ascii="宋体" w:hAnsi="宋体"/>
        </w:rPr>
        <w:t>内藏</w:t>
      </w:r>
      <w:r>
        <w:rPr>
          <w:rFonts w:ascii="宋体" w:hAnsi="宋体"/>
        </w:rPr>
        <w:t>钢板</w:t>
      </w:r>
      <w:r>
        <w:rPr>
          <w:rFonts w:hint="eastAsia" w:ascii="宋体" w:hAnsi="宋体"/>
        </w:rPr>
        <w:t>混凝土剪力墙、</w:t>
      </w:r>
      <w:r>
        <w:rPr>
          <w:rFonts w:ascii="宋体" w:hAnsi="宋体"/>
        </w:rPr>
        <w:t>带</w:t>
      </w:r>
      <w:r>
        <w:rPr>
          <w:rFonts w:hint="eastAsia" w:ascii="宋体" w:hAnsi="宋体"/>
        </w:rPr>
        <w:t>钢</w:t>
      </w:r>
      <w:r>
        <w:rPr>
          <w:rFonts w:ascii="宋体" w:hAnsi="宋体"/>
        </w:rPr>
        <w:t>斜撑混凝土剪力墙</w:t>
      </w:r>
      <w:r>
        <w:rPr>
          <w:rFonts w:hint="eastAsia" w:ascii="宋体" w:hAnsi="宋体"/>
        </w:rPr>
        <w:t>）时，得</w:t>
      </w:r>
      <w:r>
        <w:rPr>
          <w:rFonts w:ascii="宋体" w:hAnsi="宋体"/>
        </w:rPr>
        <w:t>16</w:t>
      </w:r>
      <w:r>
        <w:rPr>
          <w:rFonts w:hint="eastAsia" w:ascii="宋体" w:hAnsi="宋体"/>
        </w:rPr>
        <w:t>分。</w:t>
      </w:r>
    </w:p>
    <w:p>
      <w:pPr>
        <w:pStyle w:val="24"/>
        <w:rPr>
          <w:rFonts w:ascii="宋体" w:hAnsi="宋体"/>
        </w:rPr>
      </w:pPr>
      <w:r>
        <w:rPr>
          <w:rFonts w:hint="eastAsia" w:ascii="宋体" w:hAnsi="宋体"/>
          <w:b/>
        </w:rPr>
        <w:t>4.</w:t>
      </w:r>
      <w:r>
        <w:rPr>
          <w:rFonts w:ascii="宋体" w:hAnsi="宋体"/>
          <w:b/>
        </w:rPr>
        <w:t>2</w:t>
      </w:r>
      <w:r>
        <w:rPr>
          <w:rFonts w:hint="eastAsia" w:ascii="宋体" w:hAnsi="宋体"/>
          <w:b/>
        </w:rPr>
        <w:t>.</w:t>
      </w:r>
      <w:r>
        <w:rPr>
          <w:rFonts w:ascii="宋体" w:hAnsi="宋体"/>
          <w:b/>
        </w:rPr>
        <w:t>4</w:t>
      </w:r>
      <w:r>
        <w:rPr>
          <w:rFonts w:ascii="宋体" w:hAnsi="宋体"/>
        </w:rPr>
        <w:tab/>
      </w:r>
      <w:r>
        <w:rPr>
          <w:rFonts w:hint="eastAsia" w:ascii="宋体" w:hAnsi="宋体"/>
        </w:rPr>
        <w:t>梁、板、楼梯</w:t>
      </w:r>
      <w:r>
        <w:rPr>
          <w:rFonts w:ascii="宋体" w:hAnsi="宋体"/>
        </w:rPr>
        <w:t>、</w:t>
      </w:r>
      <w:r>
        <w:rPr>
          <w:rFonts w:hint="eastAsia" w:ascii="宋体" w:hAnsi="宋体"/>
        </w:rPr>
        <w:t>阳台、空调板等构件中预制部品部件的应用比例应按下列公式计算：</w:t>
      </w:r>
    </w:p>
    <w:p>
      <w:pPr>
        <w:pStyle w:val="40"/>
        <w:rPr>
          <w:rFonts w:ascii="宋体" w:hAnsi="宋体"/>
          <w:szCs w:val="28"/>
        </w:rPr>
      </w:pPr>
      <w:r>
        <w:rPr>
          <w:rFonts w:ascii="宋体" w:hAnsi="宋体"/>
          <w:szCs w:val="28"/>
        </w:rPr>
        <w:tab/>
      </w:r>
      <w:r>
        <w:rPr>
          <w:rFonts w:ascii="宋体" w:hAnsi="宋体"/>
          <w:position w:val="-26"/>
          <w:szCs w:val="28"/>
        </w:rPr>
        <w:object>
          <v:shape id="_x0000_i1027" o:spt="75" type="#_x0000_t75" style="height:34.65pt;width:96.45pt;" o:ole="t" filled="f" o:preferrelative="t" stroked="f" coordsize="21600,21600">
            <v:path/>
            <v:fill on="f" focussize="0,0"/>
            <v:stroke on="f" joinstyle="miter"/>
            <v:imagedata r:id="rId18" o:title=""/>
            <o:lock v:ext="edit" aspectratio="t"/>
            <w10:wrap type="none"/>
            <w10:anchorlock/>
          </v:shape>
          <o:OLEObject Type="Embed" ProgID="Equation.DSMT4" ShapeID="_x0000_i1027" DrawAspect="Content" ObjectID="_1468075727" r:id="rId17">
            <o:LockedField>false</o:LockedField>
          </o:OLEObject>
        </w:object>
      </w:r>
      <w:r>
        <w:rPr>
          <w:rFonts w:ascii="宋体" w:hAnsi="宋体"/>
          <w:szCs w:val="28"/>
        </w:rPr>
        <w:tab/>
      </w:r>
      <w:r>
        <w:rPr>
          <w:rFonts w:hint="eastAsia" w:ascii="宋体" w:hAnsi="宋体"/>
          <w:szCs w:val="28"/>
        </w:rPr>
        <w:t>（4</w:t>
      </w:r>
      <w:r>
        <w:rPr>
          <w:rFonts w:ascii="宋体" w:hAnsi="宋体"/>
          <w:szCs w:val="28"/>
        </w:rPr>
        <w:t>.2.4</w:t>
      </w:r>
      <w:r>
        <w:rPr>
          <w:rFonts w:hint="eastAsia" w:ascii="宋体" w:hAnsi="宋体"/>
          <w:szCs w:val="28"/>
        </w:rPr>
        <w:t>）</w:t>
      </w:r>
    </w:p>
    <w:p>
      <w:pPr>
        <w:pStyle w:val="38"/>
        <w:ind w:left="1680" w:hanging="1680" w:hangingChars="600"/>
        <w:rPr>
          <w:rFonts w:ascii="宋体" w:hAnsi="宋体"/>
        </w:rPr>
      </w:pPr>
      <w:r>
        <w:rPr>
          <w:rFonts w:hint="eastAsia" w:ascii="宋体" w:hAnsi="宋体"/>
        </w:rPr>
        <w:t>式中：q</w:t>
      </w:r>
      <w:r>
        <w:rPr>
          <w:rFonts w:hint="eastAsia" w:ascii="宋体" w:hAnsi="宋体"/>
          <w:vertAlign w:val="subscript"/>
        </w:rPr>
        <w:t>1</w:t>
      </w:r>
      <w:r>
        <w:rPr>
          <w:rFonts w:ascii="宋体" w:hAnsi="宋体"/>
          <w:vertAlign w:val="subscript"/>
        </w:rPr>
        <w:t>b</w:t>
      </w:r>
      <w:r>
        <w:rPr>
          <w:rFonts w:hint="eastAsia" w:ascii="宋体" w:hAnsi="宋体"/>
        </w:rPr>
        <w:t>——梁、板、楼梯</w:t>
      </w:r>
      <w:r>
        <w:rPr>
          <w:rFonts w:ascii="宋体" w:hAnsi="宋体"/>
        </w:rPr>
        <w:t>、</w:t>
      </w:r>
      <w:r>
        <w:rPr>
          <w:rFonts w:hint="eastAsia" w:ascii="宋体" w:hAnsi="宋体"/>
        </w:rPr>
        <w:t>阳台、空调板等构件中预制部品部件的应用比例。当采用预制楼梯、预制卫生间沉箱、预制整体阳台等复杂水平构件时，对应构件面积可以</w:t>
      </w:r>
      <w:r>
        <w:rPr>
          <w:rFonts w:ascii="宋体" w:hAnsi="宋体"/>
        </w:rPr>
        <w:t>按</w:t>
      </w:r>
      <w:r>
        <w:rPr>
          <w:rFonts w:hint="eastAsia" w:ascii="宋体" w:hAnsi="宋体"/>
        </w:rPr>
        <w:t>乘以1.5调整系数计算应用面积。</w:t>
      </w:r>
    </w:p>
    <w:p>
      <w:pPr>
        <w:pStyle w:val="26"/>
        <w:ind w:left="1678" w:hanging="840" w:hangingChars="300"/>
        <w:rPr>
          <w:rFonts w:ascii="宋体" w:hAnsi="宋体"/>
        </w:rPr>
      </w:pPr>
      <w:r>
        <w:rPr>
          <w:rFonts w:hint="eastAsia" w:ascii="宋体" w:hAnsi="宋体"/>
        </w:rPr>
        <w:t>A</w:t>
      </w:r>
      <w:r>
        <w:rPr>
          <w:rFonts w:hint="eastAsia" w:ascii="宋体" w:hAnsi="宋体"/>
          <w:vertAlign w:val="subscript"/>
        </w:rPr>
        <w:t>1</w:t>
      </w:r>
      <w:r>
        <w:rPr>
          <w:rFonts w:ascii="宋体" w:hAnsi="宋体"/>
          <w:vertAlign w:val="subscript"/>
        </w:rPr>
        <w:t>b</w:t>
      </w:r>
      <w:r>
        <w:rPr>
          <w:rFonts w:hint="eastAsia" w:ascii="宋体" w:hAnsi="宋体"/>
        </w:rPr>
        <w:t>——各楼层中预制装配梁（包括采用受力钢筋与免拆模板形成一体的中空梁预制件）、板（含屋面板）、楼梯</w:t>
      </w:r>
      <w:r>
        <w:rPr>
          <w:rFonts w:ascii="宋体" w:hAnsi="宋体"/>
        </w:rPr>
        <w:t>、</w:t>
      </w:r>
      <w:r>
        <w:rPr>
          <w:rFonts w:hint="eastAsia" w:ascii="宋体" w:hAnsi="宋体"/>
        </w:rPr>
        <w:t>阳台、空调板（悬挑板）等水平构件的水平投影面积之和；</w:t>
      </w:r>
    </w:p>
    <w:p>
      <w:pPr>
        <w:pStyle w:val="26"/>
        <w:ind w:left="1678" w:hanging="840" w:hangingChars="300"/>
        <w:rPr>
          <w:rFonts w:ascii="宋体" w:hAnsi="宋体"/>
        </w:rPr>
      </w:pPr>
      <w:r>
        <w:rPr>
          <w:rFonts w:hint="eastAsia" w:ascii="宋体" w:hAnsi="宋体"/>
        </w:rPr>
        <w:t>A——所有楼层的梁、楼板（含屋面板）、楼梯、阳台和空调板等构件的水平投影面积之和。</w:t>
      </w:r>
    </w:p>
    <w:p>
      <w:pPr>
        <w:pStyle w:val="24"/>
        <w:rPr>
          <w:rFonts w:ascii="宋体" w:hAnsi="宋体"/>
        </w:rPr>
      </w:pPr>
      <w:r>
        <w:rPr>
          <w:rFonts w:hint="eastAsia" w:ascii="宋体" w:hAnsi="宋体"/>
          <w:b/>
        </w:rPr>
        <w:t>4</w:t>
      </w:r>
      <w:r>
        <w:rPr>
          <w:rFonts w:ascii="宋体" w:hAnsi="宋体"/>
          <w:b/>
        </w:rPr>
        <w:t>.2.5</w:t>
      </w:r>
      <w:r>
        <w:rPr>
          <w:rFonts w:ascii="宋体" w:hAnsi="宋体"/>
        </w:rPr>
        <w:tab/>
      </w:r>
      <w:r>
        <w:rPr>
          <w:rFonts w:hint="eastAsia" w:ascii="宋体" w:hAnsi="宋体"/>
        </w:rPr>
        <w:t>预制装配式楼板、屋面板的水平投影面积包括：</w:t>
      </w:r>
    </w:p>
    <w:p>
      <w:pPr>
        <w:pStyle w:val="47"/>
        <w:ind w:firstLine="560"/>
        <w:rPr>
          <w:rFonts w:ascii="宋体" w:hAnsi="宋体"/>
        </w:rPr>
      </w:pPr>
      <w:r>
        <w:rPr>
          <w:rFonts w:hint="eastAsia" w:ascii="宋体" w:hAnsi="宋体"/>
        </w:rPr>
        <w:t>1 预制装配式叠合楼板、屋面板的水平投影面积；</w:t>
      </w:r>
    </w:p>
    <w:p>
      <w:pPr>
        <w:pStyle w:val="47"/>
        <w:ind w:firstLine="560"/>
        <w:rPr>
          <w:rFonts w:ascii="宋体" w:hAnsi="宋体"/>
        </w:rPr>
      </w:pPr>
      <w:r>
        <w:rPr>
          <w:rFonts w:hint="eastAsia" w:ascii="宋体" w:hAnsi="宋体"/>
        </w:rPr>
        <w:t>2 预制构件间宽度不大于</w:t>
      </w:r>
      <w:r>
        <w:rPr>
          <w:rFonts w:ascii="宋体" w:hAnsi="宋体"/>
        </w:rPr>
        <w:t>400</w:t>
      </w:r>
      <w:r>
        <w:rPr>
          <w:rFonts w:hint="eastAsia" w:ascii="宋体" w:hAnsi="宋体"/>
        </w:rPr>
        <w:t>mm的后浇混凝土带水平投影面积；</w:t>
      </w:r>
    </w:p>
    <w:p>
      <w:pPr>
        <w:pStyle w:val="47"/>
        <w:ind w:firstLine="560"/>
        <w:rPr>
          <w:rFonts w:ascii="宋体" w:hAnsi="宋体"/>
        </w:rPr>
      </w:pPr>
      <w:r>
        <w:rPr>
          <w:rFonts w:hint="eastAsia" w:ascii="宋体" w:hAnsi="宋体"/>
        </w:rPr>
        <w:t>3 金属楼承板和屋面板、木楼盖和屋盖及其他在施工现场免支模的楼盖和屋盖的水平投影面积。金属楼承板用于</w:t>
      </w:r>
      <w:r>
        <w:rPr>
          <w:rFonts w:ascii="宋体" w:hAnsi="宋体"/>
        </w:rPr>
        <w:t>混凝土结构</w:t>
      </w:r>
      <w:r>
        <w:rPr>
          <w:rFonts w:hint="eastAsia" w:ascii="宋体" w:hAnsi="宋体"/>
        </w:rPr>
        <w:t>时不属于</w:t>
      </w:r>
      <w:r>
        <w:rPr>
          <w:rFonts w:ascii="宋体" w:hAnsi="宋体"/>
        </w:rPr>
        <w:t>预制水平构件。</w:t>
      </w:r>
    </w:p>
    <w:p>
      <w:pPr>
        <w:pStyle w:val="45"/>
        <w:spacing w:before="156" w:after="156"/>
        <w:rPr>
          <w:rFonts w:ascii="宋体" w:hAnsi="宋体"/>
          <w:szCs w:val="28"/>
        </w:rPr>
      </w:pPr>
      <w:bookmarkStart w:id="12" w:name="_Toc133412694"/>
      <w:r>
        <w:rPr>
          <w:rFonts w:hint="eastAsia" w:ascii="宋体" w:hAnsi="宋体"/>
          <w:szCs w:val="28"/>
        </w:rPr>
        <w:t>4</w:t>
      </w:r>
      <w:r>
        <w:rPr>
          <w:rFonts w:ascii="宋体" w:hAnsi="宋体"/>
          <w:szCs w:val="28"/>
        </w:rPr>
        <w:t xml:space="preserve">.3 </w:t>
      </w:r>
      <w:r>
        <w:rPr>
          <w:rFonts w:hint="eastAsia" w:ascii="宋体" w:hAnsi="宋体"/>
          <w:szCs w:val="28"/>
        </w:rPr>
        <w:t>围护墙和内隔墙</w:t>
      </w:r>
      <w:bookmarkEnd w:id="12"/>
    </w:p>
    <w:p>
      <w:pPr>
        <w:pStyle w:val="24"/>
        <w:rPr>
          <w:rFonts w:ascii="宋体" w:hAnsi="宋体"/>
        </w:rPr>
      </w:pPr>
      <w:r>
        <w:rPr>
          <w:rFonts w:hint="eastAsia" w:ascii="宋体" w:hAnsi="宋体"/>
          <w:b/>
        </w:rPr>
        <w:t>4</w:t>
      </w:r>
      <w:r>
        <w:rPr>
          <w:rFonts w:ascii="宋体" w:hAnsi="宋体"/>
          <w:b/>
        </w:rPr>
        <w:t>.3.1</w:t>
      </w:r>
      <w:r>
        <w:rPr>
          <w:rFonts w:ascii="宋体" w:hAnsi="宋体"/>
        </w:rPr>
        <w:tab/>
      </w:r>
      <w:r>
        <w:rPr>
          <w:rFonts w:hint="eastAsia" w:ascii="宋体" w:hAnsi="宋体"/>
        </w:rPr>
        <w:t>非承重围护墙中非砌筑墙体的应用比例应按下列式计算：</w:t>
      </w:r>
    </w:p>
    <w:p>
      <w:pPr>
        <w:pStyle w:val="40"/>
        <w:rPr>
          <w:rFonts w:ascii="宋体" w:hAnsi="宋体"/>
          <w:szCs w:val="28"/>
        </w:rPr>
      </w:pPr>
      <w:r>
        <w:rPr>
          <w:rFonts w:ascii="宋体" w:hAnsi="宋体"/>
          <w:szCs w:val="28"/>
        </w:rPr>
        <w:tab/>
      </w:r>
      <w:r>
        <w:rPr>
          <w:rFonts w:ascii="宋体" w:hAnsi="宋体"/>
          <w:position w:val="-34"/>
          <w:szCs w:val="28"/>
        </w:rPr>
        <w:object>
          <v:shape id="_x0000_i1028" o:spt="75" type="#_x0000_t75" style="height:40.1pt;width:101.95pt;" o:ole="t" filled="f" o:preferrelative="t" stroked="f" coordsize="21600,21600">
            <v:path/>
            <v:fill on="f" focussize="0,0"/>
            <v:stroke on="f" joinstyle="miter"/>
            <v:imagedata r:id="rId20" o:title=""/>
            <o:lock v:ext="edit" aspectratio="t"/>
            <w10:wrap type="none"/>
            <w10:anchorlock/>
          </v:shape>
          <o:OLEObject Type="Embed" ProgID="Equation.DSMT4" ShapeID="_x0000_i1028" DrawAspect="Content" ObjectID="_1468075728" r:id="rId19">
            <o:LockedField>false</o:LockedField>
          </o:OLEObject>
        </w:object>
      </w:r>
      <w:r>
        <w:rPr>
          <w:rFonts w:ascii="宋体" w:hAnsi="宋体"/>
          <w:szCs w:val="28"/>
        </w:rPr>
        <w:tab/>
      </w:r>
      <w:r>
        <w:rPr>
          <w:rFonts w:hint="eastAsia" w:ascii="宋体" w:hAnsi="宋体"/>
          <w:szCs w:val="28"/>
        </w:rPr>
        <w:t>（4</w:t>
      </w:r>
      <w:r>
        <w:rPr>
          <w:rFonts w:ascii="宋体" w:hAnsi="宋体"/>
          <w:szCs w:val="28"/>
        </w:rPr>
        <w:t>.3.1</w:t>
      </w:r>
      <w:r>
        <w:rPr>
          <w:rFonts w:hint="eastAsia" w:ascii="宋体" w:hAnsi="宋体"/>
          <w:szCs w:val="28"/>
        </w:rPr>
        <w:t>）</w:t>
      </w:r>
    </w:p>
    <w:p>
      <w:pPr>
        <w:pStyle w:val="38"/>
        <w:rPr>
          <w:rFonts w:ascii="宋体" w:hAnsi="宋体"/>
        </w:rPr>
      </w:pPr>
      <w:r>
        <w:rPr>
          <w:rFonts w:hint="eastAsia" w:ascii="宋体" w:hAnsi="宋体"/>
        </w:rPr>
        <w:t>式中：</w:t>
      </w:r>
      <w:bookmarkStart w:id="13" w:name="_Hlk7450340"/>
      <w:r>
        <w:rPr>
          <w:rFonts w:hint="eastAsia" w:ascii="宋体" w:hAnsi="宋体"/>
        </w:rPr>
        <w:t>q</w:t>
      </w:r>
      <w:r>
        <w:rPr>
          <w:rFonts w:hint="eastAsia" w:ascii="宋体" w:hAnsi="宋体"/>
          <w:vertAlign w:val="subscript"/>
        </w:rPr>
        <w:t>2</w:t>
      </w:r>
      <w:r>
        <w:rPr>
          <w:rFonts w:ascii="宋体" w:hAnsi="宋体"/>
          <w:vertAlign w:val="subscript"/>
        </w:rPr>
        <w:t>a</w:t>
      </w:r>
      <w:bookmarkEnd w:id="13"/>
      <w:r>
        <w:rPr>
          <w:rFonts w:hint="eastAsia" w:ascii="宋体" w:hAnsi="宋体"/>
        </w:rPr>
        <w:t>——非承重围护墙中非砌筑墙体的应用比例；</w:t>
      </w:r>
    </w:p>
    <w:p>
      <w:pPr>
        <w:pStyle w:val="26"/>
        <w:rPr>
          <w:rFonts w:ascii="宋体" w:hAnsi="宋体"/>
        </w:rPr>
      </w:pPr>
      <w:r>
        <w:rPr>
          <w:rFonts w:hint="eastAsia" w:ascii="宋体" w:hAnsi="宋体"/>
        </w:rPr>
        <w:t>A</w:t>
      </w:r>
      <w:r>
        <w:rPr>
          <w:rFonts w:ascii="宋体" w:hAnsi="宋体"/>
          <w:vertAlign w:val="subscript"/>
        </w:rPr>
        <w:t>2a</w:t>
      </w:r>
      <w:r>
        <w:rPr>
          <w:rFonts w:hint="eastAsia" w:ascii="宋体" w:hAnsi="宋体"/>
        </w:rPr>
        <w:t>——各楼层非承重围护墙中非砌筑墙体的外表面积之和，计算时可不扣除门、窗及预留洞口等的面积；</w:t>
      </w:r>
    </w:p>
    <w:p>
      <w:pPr>
        <w:pStyle w:val="26"/>
        <w:rPr>
          <w:rFonts w:ascii="宋体" w:hAnsi="宋体"/>
        </w:rPr>
      </w:pPr>
      <w:r>
        <w:rPr>
          <w:rFonts w:hint="eastAsia" w:ascii="宋体" w:hAnsi="宋体"/>
        </w:rPr>
        <w:t>A</w:t>
      </w:r>
      <w:r>
        <w:rPr>
          <w:rFonts w:ascii="宋体" w:hAnsi="宋体"/>
          <w:vertAlign w:val="subscript"/>
        </w:rPr>
        <w:t>w1</w:t>
      </w:r>
      <w:r>
        <w:rPr>
          <w:rFonts w:hint="eastAsia" w:ascii="宋体" w:hAnsi="宋体"/>
        </w:rPr>
        <w:t>——各楼层非承重围护墙外表面总面积，计算时可不扣除门、窗及预留洞口等的面积。</w:t>
      </w:r>
    </w:p>
    <w:p>
      <w:pPr>
        <w:pStyle w:val="24"/>
        <w:rPr>
          <w:rFonts w:ascii="宋体" w:hAnsi="宋体"/>
        </w:rPr>
      </w:pPr>
      <w:r>
        <w:rPr>
          <w:rFonts w:hint="eastAsia" w:ascii="宋体" w:hAnsi="宋体"/>
          <w:b/>
        </w:rPr>
        <w:t>4</w:t>
      </w:r>
      <w:r>
        <w:rPr>
          <w:rFonts w:ascii="宋体" w:hAnsi="宋体"/>
          <w:b/>
        </w:rPr>
        <w:t>.3.2</w:t>
      </w:r>
      <w:r>
        <w:rPr>
          <w:rFonts w:ascii="宋体" w:hAnsi="宋体"/>
        </w:rPr>
        <w:tab/>
      </w:r>
      <w:r>
        <w:rPr>
          <w:rFonts w:hint="eastAsia" w:ascii="宋体" w:hAnsi="宋体"/>
        </w:rPr>
        <w:t>围护墙采用墙体、保温、隔热、装饰集成一体化的应用比例应按下列式计算：</w:t>
      </w:r>
    </w:p>
    <w:p>
      <w:pPr>
        <w:pStyle w:val="40"/>
        <w:rPr>
          <w:rFonts w:ascii="宋体" w:hAnsi="宋体"/>
          <w:szCs w:val="28"/>
        </w:rPr>
      </w:pPr>
      <w:r>
        <w:rPr>
          <w:rFonts w:ascii="宋体" w:hAnsi="宋体"/>
          <w:szCs w:val="28"/>
        </w:rPr>
        <w:tab/>
      </w:r>
      <w:r>
        <w:rPr>
          <w:rFonts w:ascii="宋体" w:hAnsi="宋体"/>
          <w:position w:val="-34"/>
          <w:szCs w:val="28"/>
        </w:rPr>
        <w:object>
          <v:shape id="_x0000_i1029" o:spt="75" type="#_x0000_t75" style="height:40.1pt;width:103.9pt;" o:ole="t" filled="f" o:preferrelative="t" stroked="f" coordsize="21600,21600">
            <v:path/>
            <v:fill on="f" focussize="0,0"/>
            <v:stroke on="f" joinstyle="miter"/>
            <v:imagedata r:id="rId22" o:title=""/>
            <o:lock v:ext="edit" aspectratio="t"/>
            <w10:wrap type="none"/>
            <w10:anchorlock/>
          </v:shape>
          <o:OLEObject Type="Embed" ProgID="Equation.DSMT4" ShapeID="_x0000_i1029" DrawAspect="Content" ObjectID="_1468075729" r:id="rId21">
            <o:LockedField>false</o:LockedField>
          </o:OLEObject>
        </w:object>
      </w:r>
      <w:r>
        <w:rPr>
          <w:rFonts w:ascii="宋体" w:hAnsi="宋体"/>
          <w:szCs w:val="28"/>
        </w:rPr>
        <w:tab/>
      </w:r>
      <w:r>
        <w:rPr>
          <w:rFonts w:hint="eastAsia" w:ascii="宋体" w:hAnsi="宋体"/>
          <w:szCs w:val="28"/>
        </w:rPr>
        <w:t>（4</w:t>
      </w:r>
      <w:r>
        <w:rPr>
          <w:rFonts w:ascii="宋体" w:hAnsi="宋体"/>
          <w:szCs w:val="28"/>
        </w:rPr>
        <w:t>.3.2</w:t>
      </w:r>
      <w:r>
        <w:rPr>
          <w:rFonts w:hint="eastAsia" w:ascii="宋体" w:hAnsi="宋体"/>
          <w:szCs w:val="28"/>
        </w:rPr>
        <w:t>）</w:t>
      </w:r>
    </w:p>
    <w:p>
      <w:pPr>
        <w:pStyle w:val="38"/>
        <w:rPr>
          <w:rFonts w:ascii="宋体" w:hAnsi="宋体"/>
        </w:rPr>
      </w:pPr>
      <w:r>
        <w:rPr>
          <w:rFonts w:hint="eastAsia" w:ascii="宋体" w:hAnsi="宋体"/>
        </w:rPr>
        <w:t>式中：q</w:t>
      </w:r>
      <w:r>
        <w:rPr>
          <w:rFonts w:ascii="宋体" w:hAnsi="宋体"/>
          <w:vertAlign w:val="subscript"/>
        </w:rPr>
        <w:t>2b</w:t>
      </w:r>
      <w:r>
        <w:rPr>
          <w:rFonts w:hint="eastAsia" w:ascii="宋体" w:hAnsi="宋体"/>
        </w:rPr>
        <w:t>——围护墙采用墙体、保温、隔热、装饰一体化的应用比例；</w:t>
      </w:r>
    </w:p>
    <w:p>
      <w:pPr>
        <w:pStyle w:val="26"/>
        <w:rPr>
          <w:rFonts w:ascii="宋体" w:hAnsi="宋体"/>
        </w:rPr>
      </w:pPr>
      <w:r>
        <w:rPr>
          <w:rFonts w:hint="eastAsia" w:ascii="宋体" w:hAnsi="宋体"/>
        </w:rPr>
        <w:t>A</w:t>
      </w:r>
      <w:r>
        <w:rPr>
          <w:rFonts w:ascii="宋体" w:hAnsi="宋体"/>
          <w:vertAlign w:val="subscript"/>
        </w:rPr>
        <w:t>2b</w:t>
      </w:r>
      <w:r>
        <w:rPr>
          <w:rFonts w:hint="eastAsia" w:ascii="宋体" w:hAnsi="宋体"/>
        </w:rPr>
        <w:t>——各楼层围护墙采用墙体、保温、隔热、装饰一体化墙体外表面积之和，计算时可不扣除门、窗及预留洞口等的面积，可扣除承重竖向构件的面积；</w:t>
      </w:r>
    </w:p>
    <w:p>
      <w:pPr>
        <w:pStyle w:val="26"/>
        <w:rPr>
          <w:rFonts w:ascii="宋体" w:hAnsi="宋体"/>
        </w:rPr>
      </w:pPr>
      <w:r>
        <w:rPr>
          <w:rFonts w:hint="eastAsia" w:ascii="宋体" w:hAnsi="宋体"/>
        </w:rPr>
        <w:t>A</w:t>
      </w:r>
      <w:r>
        <w:rPr>
          <w:rFonts w:hint="eastAsia" w:ascii="宋体" w:hAnsi="宋体"/>
          <w:vertAlign w:val="subscript"/>
        </w:rPr>
        <w:t>w2</w:t>
      </w:r>
      <w:r>
        <w:rPr>
          <w:rFonts w:hint="eastAsia" w:ascii="宋体" w:hAnsi="宋体"/>
        </w:rPr>
        <w:t>——各楼层外围护墙外表总面积，计算时可不扣除门、窗、预留洞口等的面积，可扣除承重竖向构件的面积。</w:t>
      </w:r>
    </w:p>
    <w:p>
      <w:pPr>
        <w:pStyle w:val="24"/>
        <w:rPr>
          <w:rFonts w:ascii="宋体" w:hAnsi="宋体"/>
        </w:rPr>
      </w:pPr>
      <w:r>
        <w:rPr>
          <w:rFonts w:hint="eastAsia" w:ascii="宋体" w:hAnsi="宋体"/>
          <w:b/>
        </w:rPr>
        <w:t>4</w:t>
      </w:r>
      <w:r>
        <w:rPr>
          <w:rFonts w:ascii="宋体" w:hAnsi="宋体"/>
          <w:b/>
        </w:rPr>
        <w:t>.3.3</w:t>
      </w:r>
      <w:r>
        <w:rPr>
          <w:rFonts w:ascii="宋体" w:hAnsi="宋体"/>
        </w:rPr>
        <w:tab/>
      </w:r>
      <w:r>
        <w:rPr>
          <w:rFonts w:hint="eastAsia" w:ascii="宋体" w:hAnsi="宋体"/>
        </w:rPr>
        <w:t>内隔墙中非砌筑墙体的应用比例应按下列式计算：</w:t>
      </w:r>
    </w:p>
    <w:p>
      <w:pPr>
        <w:pStyle w:val="40"/>
        <w:rPr>
          <w:rFonts w:ascii="宋体" w:hAnsi="宋体"/>
          <w:szCs w:val="28"/>
        </w:rPr>
      </w:pPr>
      <w:r>
        <w:rPr>
          <w:rFonts w:ascii="宋体" w:hAnsi="宋体"/>
          <w:szCs w:val="28"/>
        </w:rPr>
        <w:tab/>
      </w:r>
      <w:r>
        <w:rPr>
          <w:rFonts w:ascii="宋体" w:hAnsi="宋体"/>
          <w:position w:val="-34"/>
          <w:szCs w:val="28"/>
        </w:rPr>
        <w:object>
          <v:shape id="_x0000_i1030" o:spt="75" type="#_x0000_t75" style="height:40.1pt;width:100.6pt;" o:ole="t" filled="f" o:preferrelative="t" stroked="f" coordsize="21600,21600">
            <v:path/>
            <v:fill on="f" focussize="0,0"/>
            <v:stroke on="f" joinstyle="miter"/>
            <v:imagedata r:id="rId24" o:title=""/>
            <o:lock v:ext="edit" aspectratio="t"/>
            <w10:wrap type="none"/>
            <w10:anchorlock/>
          </v:shape>
          <o:OLEObject Type="Embed" ProgID="Equation.DSMT4" ShapeID="_x0000_i1030" DrawAspect="Content" ObjectID="_1468075730" r:id="rId23">
            <o:LockedField>false</o:LockedField>
          </o:OLEObject>
        </w:object>
      </w:r>
      <w:r>
        <w:rPr>
          <w:rFonts w:ascii="宋体" w:hAnsi="宋体"/>
          <w:szCs w:val="28"/>
        </w:rPr>
        <w:tab/>
      </w:r>
      <w:r>
        <w:rPr>
          <w:rFonts w:hint="eastAsia" w:ascii="宋体" w:hAnsi="宋体"/>
          <w:szCs w:val="28"/>
        </w:rPr>
        <w:t>（4</w:t>
      </w:r>
      <w:r>
        <w:rPr>
          <w:rFonts w:ascii="宋体" w:hAnsi="宋体"/>
          <w:szCs w:val="28"/>
        </w:rPr>
        <w:t>.3.3</w:t>
      </w:r>
      <w:r>
        <w:rPr>
          <w:rFonts w:hint="eastAsia" w:ascii="宋体" w:hAnsi="宋体"/>
          <w:szCs w:val="28"/>
        </w:rPr>
        <w:t>）</w:t>
      </w:r>
    </w:p>
    <w:p>
      <w:pPr>
        <w:pStyle w:val="38"/>
        <w:rPr>
          <w:rFonts w:ascii="宋体" w:hAnsi="宋体"/>
        </w:rPr>
      </w:pPr>
      <w:r>
        <w:rPr>
          <w:rFonts w:hint="eastAsia" w:ascii="宋体" w:hAnsi="宋体"/>
        </w:rPr>
        <w:t>式中：q</w:t>
      </w:r>
      <w:r>
        <w:rPr>
          <w:rFonts w:hint="eastAsia" w:ascii="宋体" w:hAnsi="宋体"/>
          <w:vertAlign w:val="subscript"/>
        </w:rPr>
        <w:t>2</w:t>
      </w:r>
      <w:r>
        <w:rPr>
          <w:rFonts w:ascii="宋体" w:hAnsi="宋体"/>
          <w:vertAlign w:val="subscript"/>
        </w:rPr>
        <w:t>c</w:t>
      </w:r>
      <w:r>
        <w:rPr>
          <w:rFonts w:hint="eastAsia" w:ascii="宋体" w:hAnsi="宋体"/>
        </w:rPr>
        <w:t>——内隔墙采用非砌筑做法的应用比例；</w:t>
      </w:r>
    </w:p>
    <w:p>
      <w:pPr>
        <w:pStyle w:val="26"/>
        <w:rPr>
          <w:rFonts w:ascii="宋体" w:hAnsi="宋体"/>
        </w:rPr>
      </w:pPr>
      <w:r>
        <w:rPr>
          <w:rFonts w:hint="eastAsia" w:ascii="宋体" w:hAnsi="宋体"/>
        </w:rPr>
        <w:t>A</w:t>
      </w:r>
      <w:r>
        <w:rPr>
          <w:rFonts w:hint="eastAsia" w:ascii="宋体" w:hAnsi="宋体"/>
          <w:vertAlign w:val="subscript"/>
        </w:rPr>
        <w:t>2</w:t>
      </w:r>
      <w:r>
        <w:rPr>
          <w:rFonts w:ascii="宋体" w:hAnsi="宋体"/>
          <w:vertAlign w:val="subscript"/>
        </w:rPr>
        <w:t>c</w:t>
      </w:r>
      <w:r>
        <w:rPr>
          <w:rFonts w:hint="eastAsia" w:ascii="宋体" w:hAnsi="宋体"/>
        </w:rPr>
        <w:t>——各楼层内隔墙中非砌筑墙体的墙体表面积之和，计算时可不扣除门、窗及预留洞口等的面积；</w:t>
      </w:r>
    </w:p>
    <w:p>
      <w:pPr>
        <w:pStyle w:val="26"/>
        <w:rPr>
          <w:rFonts w:ascii="宋体" w:hAnsi="宋体"/>
        </w:rPr>
      </w:pPr>
      <w:r>
        <w:rPr>
          <w:rFonts w:hint="eastAsia" w:ascii="宋体" w:hAnsi="宋体"/>
        </w:rPr>
        <w:t>A</w:t>
      </w:r>
      <w:r>
        <w:rPr>
          <w:rFonts w:hint="eastAsia" w:ascii="宋体" w:hAnsi="宋体"/>
          <w:vertAlign w:val="subscript"/>
        </w:rPr>
        <w:t>w3</w:t>
      </w:r>
      <w:r>
        <w:rPr>
          <w:rFonts w:hint="eastAsia" w:ascii="宋体" w:hAnsi="宋体"/>
        </w:rPr>
        <w:t>——各楼层内隔墙墙面总面积，计算时可不扣除门、窗、预留洞口等的面积。</w:t>
      </w:r>
    </w:p>
    <w:p>
      <w:pPr>
        <w:pStyle w:val="24"/>
        <w:rPr>
          <w:rFonts w:ascii="宋体" w:hAnsi="宋体"/>
        </w:rPr>
      </w:pPr>
      <w:r>
        <w:rPr>
          <w:rFonts w:hint="eastAsia" w:ascii="宋体" w:hAnsi="宋体"/>
          <w:b/>
        </w:rPr>
        <w:t>4</w:t>
      </w:r>
      <w:r>
        <w:rPr>
          <w:rFonts w:ascii="宋体" w:hAnsi="宋体"/>
          <w:b/>
        </w:rPr>
        <w:t>.3.4</w:t>
      </w:r>
      <w:r>
        <w:rPr>
          <w:rFonts w:ascii="宋体" w:hAnsi="宋体"/>
        </w:rPr>
        <w:tab/>
      </w:r>
      <w:r>
        <w:rPr>
          <w:rFonts w:hint="eastAsia" w:ascii="宋体" w:hAnsi="宋体"/>
        </w:rPr>
        <w:t>内隔墙采用墙体、管线、装修集成一体化技术的应用比例应按下式计算：</w:t>
      </w:r>
    </w:p>
    <w:p>
      <w:pPr>
        <w:pStyle w:val="40"/>
        <w:rPr>
          <w:rFonts w:ascii="宋体" w:hAnsi="宋体"/>
          <w:szCs w:val="28"/>
        </w:rPr>
      </w:pPr>
      <w:r>
        <w:rPr>
          <w:rFonts w:ascii="宋体" w:hAnsi="宋体"/>
          <w:szCs w:val="28"/>
        </w:rPr>
        <w:tab/>
      </w:r>
      <w:r>
        <w:rPr>
          <w:rFonts w:ascii="宋体" w:hAnsi="宋体"/>
          <w:position w:val="-34"/>
          <w:szCs w:val="28"/>
        </w:rPr>
        <w:object>
          <v:shape id="_x0000_i1031" o:spt="75" type="#_x0000_t75" style="height:40.1pt;width:101.95pt;" o:ole="t" filled="f" o:preferrelative="t" stroked="f" coordsize="21600,21600">
            <v:path/>
            <v:fill on="f" focussize="0,0"/>
            <v:stroke on="f" joinstyle="miter"/>
            <v:imagedata r:id="rId26" o:title=""/>
            <o:lock v:ext="edit" aspectratio="t"/>
            <w10:wrap type="none"/>
            <w10:anchorlock/>
          </v:shape>
          <o:OLEObject Type="Embed" ProgID="Equation.DSMT4" ShapeID="_x0000_i1031" DrawAspect="Content" ObjectID="_1468075731" r:id="rId25">
            <o:LockedField>false</o:LockedField>
          </o:OLEObject>
        </w:object>
      </w:r>
      <w:r>
        <w:rPr>
          <w:rFonts w:ascii="宋体" w:hAnsi="宋体"/>
          <w:szCs w:val="28"/>
        </w:rPr>
        <w:tab/>
      </w:r>
      <w:r>
        <w:rPr>
          <w:rFonts w:hint="eastAsia" w:ascii="宋体" w:hAnsi="宋体"/>
          <w:szCs w:val="28"/>
        </w:rPr>
        <w:t>（4</w:t>
      </w:r>
      <w:r>
        <w:rPr>
          <w:rFonts w:ascii="宋体" w:hAnsi="宋体"/>
          <w:szCs w:val="28"/>
        </w:rPr>
        <w:t>.3.4</w:t>
      </w:r>
      <w:r>
        <w:rPr>
          <w:rFonts w:hint="eastAsia" w:ascii="宋体" w:hAnsi="宋体"/>
          <w:szCs w:val="28"/>
        </w:rPr>
        <w:t>）</w:t>
      </w:r>
    </w:p>
    <w:p>
      <w:pPr>
        <w:pStyle w:val="38"/>
        <w:rPr>
          <w:rFonts w:ascii="宋体" w:hAnsi="宋体"/>
        </w:rPr>
      </w:pPr>
      <w:r>
        <w:rPr>
          <w:rFonts w:hint="eastAsia" w:ascii="宋体" w:hAnsi="宋体"/>
        </w:rPr>
        <w:t>式中：</w:t>
      </w:r>
      <w:r>
        <w:rPr>
          <w:rFonts w:ascii="宋体" w:hAnsi="宋体"/>
        </w:rPr>
        <w:t>q</w:t>
      </w:r>
      <w:r>
        <w:rPr>
          <w:rFonts w:hint="eastAsia" w:ascii="宋体" w:hAnsi="宋体"/>
          <w:vertAlign w:val="subscript"/>
        </w:rPr>
        <w:t>2</w:t>
      </w:r>
      <w:r>
        <w:rPr>
          <w:rFonts w:ascii="宋体" w:hAnsi="宋体"/>
          <w:vertAlign w:val="subscript"/>
        </w:rPr>
        <w:t>d</w:t>
      </w:r>
      <w:r>
        <w:rPr>
          <w:rFonts w:hint="eastAsia" w:ascii="宋体" w:hAnsi="宋体"/>
        </w:rPr>
        <w:t>——内隔墙采用墙体、管线、装修一体化的应用比例；</w:t>
      </w:r>
    </w:p>
    <w:p>
      <w:pPr>
        <w:pStyle w:val="26"/>
        <w:rPr>
          <w:rFonts w:ascii="宋体" w:hAnsi="宋体"/>
        </w:rPr>
      </w:pPr>
      <w:r>
        <w:rPr>
          <w:rFonts w:ascii="宋体" w:hAnsi="宋体"/>
        </w:rPr>
        <w:t>A</w:t>
      </w:r>
      <w:r>
        <w:rPr>
          <w:rFonts w:ascii="宋体" w:hAnsi="宋体"/>
          <w:vertAlign w:val="subscript"/>
        </w:rPr>
        <w:t>2d</w:t>
      </w:r>
      <w:r>
        <w:rPr>
          <w:rFonts w:hint="eastAsia" w:ascii="宋体" w:hAnsi="宋体"/>
        </w:rPr>
        <w:t>——各楼层内隔墙采用墙体、管线、装修一体化墙体表面积之和，计算时可不扣除门、窗及预留洞口等的面积。</w:t>
      </w:r>
    </w:p>
    <w:p>
      <w:pPr>
        <w:pStyle w:val="45"/>
        <w:spacing w:before="156" w:after="156"/>
        <w:rPr>
          <w:rFonts w:ascii="宋体" w:hAnsi="宋体"/>
        </w:rPr>
      </w:pPr>
      <w:bookmarkStart w:id="14" w:name="_Toc17470052"/>
      <w:bookmarkStart w:id="15" w:name="_Toc133412695"/>
      <w:r>
        <w:rPr>
          <w:rFonts w:hint="eastAsia" w:ascii="宋体" w:hAnsi="宋体"/>
        </w:rPr>
        <w:t>4</w:t>
      </w:r>
      <w:r>
        <w:rPr>
          <w:rFonts w:ascii="宋体" w:hAnsi="宋体"/>
        </w:rPr>
        <w:t xml:space="preserve">.4 </w:t>
      </w:r>
      <w:r>
        <w:rPr>
          <w:rFonts w:hint="eastAsia" w:ascii="宋体" w:hAnsi="宋体"/>
        </w:rPr>
        <w:t>装修和设备管线</w:t>
      </w:r>
      <w:bookmarkEnd w:id="14"/>
      <w:bookmarkEnd w:id="15"/>
    </w:p>
    <w:p>
      <w:pPr>
        <w:pStyle w:val="24"/>
        <w:rPr>
          <w:rFonts w:ascii="宋体" w:hAnsi="宋体"/>
        </w:rPr>
      </w:pPr>
      <w:r>
        <w:rPr>
          <w:rFonts w:hint="eastAsia" w:ascii="宋体" w:hAnsi="宋体"/>
          <w:b/>
        </w:rPr>
        <w:t>4</w:t>
      </w:r>
      <w:r>
        <w:rPr>
          <w:rFonts w:ascii="宋体" w:hAnsi="宋体"/>
          <w:b/>
        </w:rPr>
        <w:t>.4.1</w:t>
      </w:r>
      <w:r>
        <w:rPr>
          <w:rFonts w:ascii="宋体" w:hAnsi="宋体"/>
        </w:rPr>
        <w:tab/>
      </w:r>
      <w:r>
        <w:rPr>
          <w:rFonts w:hint="eastAsia" w:ascii="宋体" w:hAnsi="宋体"/>
        </w:rPr>
        <w:t>全装修要求如下：</w:t>
      </w:r>
    </w:p>
    <w:p>
      <w:pPr>
        <w:pStyle w:val="47"/>
        <w:ind w:firstLine="560"/>
        <w:rPr>
          <w:rFonts w:ascii="宋体" w:hAnsi="宋体"/>
        </w:rPr>
      </w:pPr>
      <w:r>
        <w:rPr>
          <w:rFonts w:hint="eastAsia" w:ascii="宋体" w:hAnsi="宋体"/>
        </w:rPr>
        <w:t>1居住建筑全装修范围包括建筑的公共区域、户内各功能空间；</w:t>
      </w:r>
    </w:p>
    <w:p>
      <w:pPr>
        <w:pStyle w:val="47"/>
        <w:ind w:firstLine="560"/>
        <w:rPr>
          <w:rFonts w:ascii="宋体" w:hAnsi="宋体"/>
        </w:rPr>
      </w:pPr>
      <w:r>
        <w:rPr>
          <w:rFonts w:hint="eastAsia" w:ascii="宋体" w:hAnsi="宋体"/>
        </w:rPr>
        <w:t>2</w:t>
      </w:r>
      <w:r>
        <w:rPr>
          <w:rFonts w:ascii="宋体" w:hAnsi="宋体"/>
        </w:rPr>
        <w:t xml:space="preserve"> </w:t>
      </w:r>
      <w:r>
        <w:rPr>
          <w:rFonts w:hint="eastAsia" w:ascii="宋体" w:hAnsi="宋体"/>
        </w:rPr>
        <w:t>公共建筑全装修范围包括公共区域和已确定使用功能的室内区域；</w:t>
      </w:r>
    </w:p>
    <w:p>
      <w:pPr>
        <w:pStyle w:val="47"/>
        <w:ind w:firstLine="560"/>
        <w:rPr>
          <w:rFonts w:ascii="宋体" w:hAnsi="宋体"/>
        </w:rPr>
      </w:pPr>
      <w:r>
        <w:rPr>
          <w:rFonts w:hint="eastAsia" w:ascii="宋体" w:hAnsi="宋体"/>
        </w:rPr>
        <w:t>3</w:t>
      </w:r>
      <w:r>
        <w:rPr>
          <w:rFonts w:ascii="宋体" w:hAnsi="宋体"/>
        </w:rPr>
        <w:t xml:space="preserve"> </w:t>
      </w:r>
      <w:r>
        <w:rPr>
          <w:rFonts w:hint="eastAsia" w:ascii="宋体" w:hAnsi="宋体"/>
        </w:rPr>
        <w:t>装配式建筑主体设计应与内、外装修设计同步协同设计；</w:t>
      </w:r>
    </w:p>
    <w:p>
      <w:pPr>
        <w:pStyle w:val="47"/>
        <w:ind w:firstLine="560"/>
        <w:rPr>
          <w:rFonts w:ascii="宋体" w:hAnsi="宋体"/>
        </w:rPr>
      </w:pPr>
      <w:r>
        <w:rPr>
          <w:rFonts w:hint="eastAsia" w:ascii="宋体" w:hAnsi="宋体"/>
        </w:rPr>
        <w:t>4</w:t>
      </w:r>
      <w:r>
        <w:rPr>
          <w:rFonts w:ascii="宋体" w:hAnsi="宋体"/>
        </w:rPr>
        <w:t xml:space="preserve"> </w:t>
      </w:r>
      <w:r>
        <w:rPr>
          <w:rFonts w:hint="eastAsia" w:ascii="宋体" w:hAnsi="宋体"/>
        </w:rPr>
        <w:t>回迁房的全装修范围可只包括建筑的公共区域；</w:t>
      </w:r>
    </w:p>
    <w:p>
      <w:pPr>
        <w:pStyle w:val="47"/>
        <w:ind w:firstLine="560"/>
        <w:rPr>
          <w:rFonts w:ascii="宋体" w:hAnsi="宋体"/>
        </w:rPr>
      </w:pPr>
      <w:r>
        <w:rPr>
          <w:rFonts w:hint="eastAsia" w:ascii="宋体" w:hAnsi="宋体"/>
        </w:rPr>
        <w:t xml:space="preserve">5 </w:t>
      </w:r>
      <w:r>
        <w:rPr>
          <w:rFonts w:ascii="宋体" w:hAnsi="宋体"/>
        </w:rPr>
        <w:t>宜考虑收纳系统。</w:t>
      </w:r>
      <w:r>
        <w:rPr>
          <w:rFonts w:hint="eastAsia" w:ascii="宋体" w:hAnsi="宋体"/>
        </w:rPr>
        <w:t>装修</w:t>
      </w:r>
      <w:r>
        <w:rPr>
          <w:rFonts w:ascii="宋体" w:hAnsi="宋体"/>
        </w:rPr>
        <w:t>交付时，</w:t>
      </w:r>
      <w:r>
        <w:rPr>
          <w:rFonts w:hint="eastAsia" w:ascii="宋体" w:hAnsi="宋体"/>
        </w:rPr>
        <w:t>配置1项固定储物柜得1分，配置2项及以上得2分。参与</w:t>
      </w:r>
      <w:r>
        <w:rPr>
          <w:rFonts w:ascii="宋体" w:hAnsi="宋体"/>
        </w:rPr>
        <w:t>评价的每个</w:t>
      </w:r>
      <w:r>
        <w:rPr>
          <w:rFonts w:hint="eastAsia" w:ascii="宋体" w:hAnsi="宋体"/>
        </w:rPr>
        <w:t>户型或</w:t>
      </w:r>
      <w:r>
        <w:rPr>
          <w:rFonts w:ascii="宋体" w:hAnsi="宋体"/>
        </w:rPr>
        <w:t>每个</w:t>
      </w:r>
      <w:r>
        <w:rPr>
          <w:rFonts w:hint="eastAsia" w:ascii="宋体" w:hAnsi="宋体"/>
        </w:rPr>
        <w:t>基本单元均配置1件</w:t>
      </w:r>
      <w:r>
        <w:rPr>
          <w:rFonts w:ascii="宋体" w:hAnsi="宋体"/>
        </w:rPr>
        <w:t>固</w:t>
      </w:r>
      <w:r>
        <w:rPr>
          <w:rFonts w:hint="eastAsia" w:ascii="宋体" w:hAnsi="宋体"/>
        </w:rPr>
        <w:t>定储物柜为1项；对于明确</w:t>
      </w:r>
      <w:r>
        <w:rPr>
          <w:rFonts w:ascii="宋体" w:hAnsi="宋体"/>
        </w:rPr>
        <w:t>使用功能但无法划定基本单元的</w:t>
      </w:r>
      <w:r>
        <w:rPr>
          <w:rFonts w:hint="eastAsia" w:ascii="宋体" w:hAnsi="宋体"/>
        </w:rPr>
        <w:t>建筑</w:t>
      </w:r>
      <w:r>
        <w:rPr>
          <w:rFonts w:ascii="宋体" w:hAnsi="宋体"/>
        </w:rPr>
        <w:t>，1</w:t>
      </w:r>
      <w:r>
        <w:rPr>
          <w:rFonts w:hint="eastAsia" w:ascii="宋体" w:hAnsi="宋体"/>
        </w:rPr>
        <w:t>件固定</w:t>
      </w:r>
      <w:r>
        <w:rPr>
          <w:rFonts w:ascii="宋体" w:hAnsi="宋体"/>
        </w:rPr>
        <w:t>储物柜即为</w:t>
      </w:r>
      <w:r>
        <w:rPr>
          <w:rFonts w:hint="eastAsia" w:ascii="宋体" w:hAnsi="宋体"/>
        </w:rPr>
        <w:t>1项。厨房、</w:t>
      </w:r>
      <w:r>
        <w:rPr>
          <w:rFonts w:ascii="宋体" w:hAnsi="宋体"/>
        </w:rPr>
        <w:t>卫生间内的</w:t>
      </w:r>
      <w:r>
        <w:rPr>
          <w:rFonts w:hint="eastAsia" w:ascii="宋体" w:hAnsi="宋体"/>
        </w:rPr>
        <w:t>固定</w:t>
      </w:r>
      <w:r>
        <w:rPr>
          <w:rFonts w:ascii="宋体" w:hAnsi="宋体"/>
        </w:rPr>
        <w:t>储物柜不计入该项</w:t>
      </w:r>
      <w:r>
        <w:rPr>
          <w:rFonts w:hint="eastAsia" w:ascii="宋体" w:hAnsi="宋体"/>
        </w:rPr>
        <w:t>得分</w:t>
      </w:r>
      <w:r>
        <w:rPr>
          <w:rFonts w:ascii="宋体" w:hAnsi="宋体"/>
        </w:rPr>
        <w:t>。</w:t>
      </w:r>
    </w:p>
    <w:p>
      <w:pPr>
        <w:pStyle w:val="24"/>
        <w:rPr>
          <w:rFonts w:ascii="宋体" w:hAnsi="宋体"/>
        </w:rPr>
      </w:pPr>
      <w:r>
        <w:rPr>
          <w:rFonts w:hint="eastAsia" w:ascii="宋体" w:hAnsi="宋体"/>
          <w:b/>
        </w:rPr>
        <w:t>4</w:t>
      </w:r>
      <w:r>
        <w:rPr>
          <w:rFonts w:ascii="宋体" w:hAnsi="宋体"/>
          <w:b/>
        </w:rPr>
        <w:t>.4.2</w:t>
      </w:r>
      <w:r>
        <w:rPr>
          <w:rFonts w:ascii="宋体" w:hAnsi="宋体"/>
        </w:rPr>
        <w:tab/>
      </w:r>
      <w:r>
        <w:rPr>
          <w:rFonts w:hint="eastAsia" w:ascii="宋体" w:hAnsi="宋体"/>
        </w:rPr>
        <w:t>干式工法评价</w:t>
      </w:r>
      <w:r>
        <w:rPr>
          <w:rFonts w:ascii="宋体" w:hAnsi="宋体"/>
        </w:rPr>
        <w:t>内容</w:t>
      </w:r>
      <w:r>
        <w:rPr>
          <w:rFonts w:hint="eastAsia" w:ascii="宋体" w:hAnsi="宋体"/>
        </w:rPr>
        <w:t>包括装配式吊顶</w:t>
      </w:r>
      <w:r>
        <w:rPr>
          <w:rFonts w:ascii="宋体" w:hAnsi="宋体"/>
        </w:rPr>
        <w:t>、</w:t>
      </w:r>
      <w:r>
        <w:rPr>
          <w:rFonts w:hint="eastAsia" w:ascii="宋体" w:hAnsi="宋体"/>
        </w:rPr>
        <w:t>装配式墙面</w:t>
      </w:r>
      <w:r>
        <w:rPr>
          <w:rFonts w:ascii="宋体" w:hAnsi="宋体"/>
        </w:rPr>
        <w:t>和</w:t>
      </w:r>
      <w:r>
        <w:rPr>
          <w:rFonts w:hint="eastAsia" w:ascii="宋体" w:hAnsi="宋体"/>
        </w:rPr>
        <w:t>装配式楼地面。</w:t>
      </w:r>
    </w:p>
    <w:p>
      <w:pPr>
        <w:pStyle w:val="24"/>
        <w:ind w:firstLine="560" w:firstLineChars="200"/>
        <w:rPr>
          <w:rFonts w:ascii="宋体" w:hAnsi="宋体"/>
        </w:rPr>
      </w:pPr>
      <w:r>
        <w:rPr>
          <w:rFonts w:hint="eastAsia" w:ascii="宋体" w:hAnsi="宋体"/>
        </w:rPr>
        <w:t>公共区域装配式</w:t>
      </w:r>
      <w:r>
        <w:rPr>
          <w:rFonts w:ascii="宋体" w:hAnsi="宋体"/>
        </w:rPr>
        <w:t>吊顶</w:t>
      </w:r>
      <w:r>
        <w:rPr>
          <w:rFonts w:hint="eastAsia" w:ascii="宋体" w:hAnsi="宋体"/>
        </w:rPr>
        <w:t>的应用比例应按下式计算：</w:t>
      </w:r>
    </w:p>
    <w:p>
      <w:pPr>
        <w:pStyle w:val="40"/>
        <w:rPr>
          <w:rFonts w:ascii="宋体" w:hAnsi="宋体"/>
        </w:rPr>
      </w:pPr>
      <w:r>
        <w:rPr>
          <w:rFonts w:ascii="宋体" w:hAnsi="宋体"/>
        </w:rPr>
        <w:tab/>
      </w:r>
      <m:oMath>
        <m:sSub>
          <m:sSubPr>
            <m:ctrlPr>
              <w:rPr>
                <w:rFonts w:ascii="Cambria Math" w:hAnsi="Cambria Math"/>
              </w:rPr>
            </m:ctrlPr>
          </m:sSubPr>
          <m:e>
            <m:r>
              <m:rPr/>
              <w:rPr>
                <w:rFonts w:ascii="Cambria Math" w:hAnsi="Cambria Math"/>
              </w:rPr>
              <m:t>q</m:t>
            </m:r>
            <m:ctrlPr>
              <w:rPr>
                <w:rFonts w:ascii="Cambria Math" w:hAnsi="Cambria Math"/>
              </w:rPr>
            </m:ctrlPr>
          </m:e>
          <m:sub>
            <m:r>
              <m:rPr/>
              <w:rPr>
                <w:rFonts w:ascii="Cambria Math" w:hAnsi="Cambria Math"/>
              </w:rPr>
              <m:t>3b1</m:t>
            </m:r>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hint="eastAsia" w:ascii="Cambria Math" w:hAnsi="Cambria Math"/>
                  </w:rPr>
                  <m:t>A</m:t>
                </m:r>
                <m:ctrlPr>
                  <w:rPr>
                    <w:rFonts w:ascii="Cambria Math" w:hAnsi="Cambria Math"/>
                  </w:rPr>
                </m:ctrlPr>
              </m:e>
              <m:sub>
                <m:r>
                  <m:rPr/>
                  <w:rPr>
                    <w:rFonts w:ascii="Cambria Math" w:hAnsi="Cambria Math"/>
                  </w:rPr>
                  <m:t>3b1</m:t>
                </m:r>
                <m:ctrlPr>
                  <w:rPr>
                    <w:rFonts w:ascii="Cambria Math" w:hAnsi="Cambria Math"/>
                  </w:rPr>
                </m:ctrlPr>
              </m:sub>
            </m:sSub>
            <m:ctrlPr>
              <w:rPr>
                <w:rFonts w:ascii="Cambria Math" w:hAnsi="Cambria Math"/>
              </w:rPr>
            </m:ctrlPr>
          </m:num>
          <m:den>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C1</m:t>
                </m:r>
                <m:ctrlPr>
                  <w:rPr>
                    <w:rFonts w:ascii="Cambria Math" w:hAnsi="Cambria Math"/>
                    <w:i/>
                  </w:rPr>
                </m:ctrlPr>
              </m:sub>
            </m:sSub>
            <m:ctrlPr>
              <w:rPr>
                <w:rFonts w:ascii="Cambria Math" w:hAnsi="Cambria Math"/>
              </w:rPr>
            </m:ctrlPr>
          </m:den>
        </m:f>
        <m:r>
          <m:rPr/>
          <w:rPr>
            <w:rFonts w:ascii="Cambria Math" w:hAnsi="Cambria Math"/>
          </w:rPr>
          <m:t>×100%</m:t>
        </m:r>
      </m:oMath>
      <w:r>
        <w:rPr>
          <w:rFonts w:ascii="宋体" w:hAnsi="宋体"/>
        </w:rPr>
        <w:tab/>
      </w:r>
      <w:r>
        <w:rPr>
          <w:rFonts w:hint="eastAsia" w:ascii="宋体" w:hAnsi="宋体"/>
        </w:rPr>
        <w:t>（4</w:t>
      </w:r>
      <w:r>
        <w:rPr>
          <w:rFonts w:ascii="宋体" w:hAnsi="宋体"/>
        </w:rPr>
        <w:t>.4.2a</w:t>
      </w:r>
      <w:r>
        <w:rPr>
          <w:rFonts w:hint="eastAsia" w:ascii="宋体" w:hAnsi="宋体"/>
        </w:rPr>
        <w:t>）</w:t>
      </w:r>
    </w:p>
    <w:p>
      <w:pPr>
        <w:pStyle w:val="38"/>
        <w:rPr>
          <w:rFonts w:ascii="宋体" w:hAnsi="宋体"/>
        </w:rPr>
      </w:pPr>
      <w:r>
        <w:rPr>
          <w:rFonts w:hint="eastAsia" w:ascii="宋体" w:hAnsi="宋体"/>
        </w:rPr>
        <w:t>式中：</w:t>
      </w:r>
      <w:r>
        <w:rPr>
          <w:rFonts w:ascii="宋体" w:hAnsi="宋体"/>
        </w:rPr>
        <w:t>q</w:t>
      </w:r>
      <w:r>
        <w:rPr>
          <w:rFonts w:hint="eastAsia" w:ascii="宋体" w:hAnsi="宋体"/>
          <w:vertAlign w:val="subscript"/>
        </w:rPr>
        <w:t>3</w:t>
      </w:r>
      <w:r>
        <w:rPr>
          <w:rFonts w:ascii="宋体" w:hAnsi="宋体"/>
          <w:vertAlign w:val="subscript"/>
        </w:rPr>
        <w:t>b1</w:t>
      </w:r>
      <w:r>
        <w:rPr>
          <w:rFonts w:hint="eastAsia" w:ascii="宋体" w:hAnsi="宋体"/>
        </w:rPr>
        <w:t>——公共区域装配式</w:t>
      </w:r>
      <w:r>
        <w:rPr>
          <w:rFonts w:ascii="宋体" w:hAnsi="宋体"/>
        </w:rPr>
        <w:t>吊顶</w:t>
      </w:r>
      <w:r>
        <w:rPr>
          <w:rFonts w:hint="eastAsia" w:ascii="宋体" w:hAnsi="宋体"/>
        </w:rPr>
        <w:t>的应用比例；</w:t>
      </w:r>
    </w:p>
    <w:p>
      <w:pPr>
        <w:pStyle w:val="26"/>
        <w:rPr>
          <w:rFonts w:ascii="宋体" w:hAnsi="宋体"/>
        </w:rPr>
      </w:pPr>
      <w:r>
        <w:rPr>
          <w:rFonts w:hint="eastAsia" w:ascii="宋体" w:hAnsi="宋体"/>
        </w:rPr>
        <w:t>A</w:t>
      </w:r>
      <w:r>
        <w:rPr>
          <w:rFonts w:hint="eastAsia" w:ascii="宋体" w:hAnsi="宋体"/>
          <w:vertAlign w:val="subscript"/>
        </w:rPr>
        <w:t>3</w:t>
      </w:r>
      <w:r>
        <w:rPr>
          <w:rFonts w:ascii="宋体" w:hAnsi="宋体"/>
          <w:vertAlign w:val="subscript"/>
        </w:rPr>
        <w:t>b1</w:t>
      </w:r>
      <w:r>
        <w:rPr>
          <w:rFonts w:hint="eastAsia" w:ascii="宋体" w:hAnsi="宋体"/>
        </w:rPr>
        <w:t>——各楼层公共区域采用装配式</w:t>
      </w:r>
      <w:r>
        <w:rPr>
          <w:rFonts w:ascii="宋体" w:hAnsi="宋体"/>
        </w:rPr>
        <w:t>吊顶</w:t>
      </w:r>
      <w:r>
        <w:rPr>
          <w:rFonts w:hint="eastAsia" w:ascii="宋体" w:hAnsi="宋体"/>
        </w:rPr>
        <w:t>的水平投影面积之和；</w:t>
      </w:r>
    </w:p>
    <w:p>
      <w:pPr>
        <w:pStyle w:val="26"/>
        <w:ind w:left="1838" w:leftChars="398"/>
        <w:rPr>
          <w:rFonts w:ascii="宋体" w:hAnsi="宋体"/>
        </w:rPr>
      </w:pPr>
      <w:r>
        <w:rPr>
          <w:rFonts w:hint="eastAsia" w:ascii="宋体" w:hAnsi="宋体"/>
        </w:rPr>
        <w:t>A</w:t>
      </w:r>
      <w:r>
        <w:rPr>
          <w:rFonts w:ascii="宋体" w:hAnsi="宋体"/>
          <w:vertAlign w:val="subscript"/>
        </w:rPr>
        <w:t xml:space="preserve">C1 </w:t>
      </w:r>
      <w:r>
        <w:rPr>
          <w:rFonts w:hint="eastAsia" w:ascii="宋体" w:hAnsi="宋体"/>
        </w:rPr>
        <w:t>——各楼层公共区域建筑平面面积扣除墙、柱的水平投影面积；当设备房和</w:t>
      </w:r>
      <w:r>
        <w:rPr>
          <w:rFonts w:ascii="宋体" w:hAnsi="宋体"/>
        </w:rPr>
        <w:t>阳台</w:t>
      </w:r>
      <w:r>
        <w:rPr>
          <w:rFonts w:hint="eastAsia" w:ascii="宋体" w:hAnsi="宋体"/>
        </w:rPr>
        <w:t>的吊顶未采用干式工法时，可不计此部分面积。</w:t>
      </w:r>
    </w:p>
    <w:p>
      <w:pPr>
        <w:pStyle w:val="24"/>
        <w:ind w:firstLine="560" w:firstLineChars="200"/>
        <w:rPr>
          <w:rFonts w:ascii="宋体" w:hAnsi="宋体"/>
        </w:rPr>
      </w:pPr>
      <w:r>
        <w:rPr>
          <w:rFonts w:hint="eastAsia" w:ascii="宋体" w:hAnsi="宋体"/>
        </w:rPr>
        <w:t>公共区域装配式墙面的应用比例应按下式计算：</w:t>
      </w:r>
    </w:p>
    <w:p>
      <w:pPr>
        <w:pStyle w:val="40"/>
        <w:rPr>
          <w:rFonts w:ascii="宋体" w:hAnsi="宋体"/>
        </w:rPr>
      </w:pPr>
      <w:r>
        <w:rPr>
          <w:rFonts w:ascii="宋体" w:hAnsi="宋体"/>
        </w:rPr>
        <w:tab/>
      </w:r>
      <m:oMath>
        <m:sSub>
          <m:sSubPr>
            <m:ctrlPr>
              <w:rPr>
                <w:rFonts w:ascii="Cambria Math" w:hAnsi="Cambria Math"/>
              </w:rPr>
            </m:ctrlPr>
          </m:sSubPr>
          <m:e>
            <m:r>
              <m:rPr/>
              <w:rPr>
                <w:rFonts w:ascii="Cambria Math" w:hAnsi="Cambria Math"/>
              </w:rPr>
              <m:t>q</m:t>
            </m:r>
            <m:ctrlPr>
              <w:rPr>
                <w:rFonts w:ascii="Cambria Math" w:hAnsi="Cambria Math"/>
              </w:rPr>
            </m:ctrlPr>
          </m:e>
          <m:sub>
            <m:r>
              <m:rPr/>
              <w:rPr>
                <w:rFonts w:ascii="Cambria Math" w:hAnsi="Cambria Math"/>
              </w:rPr>
              <m:t>3b2</m:t>
            </m:r>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hint="eastAsia" w:ascii="Cambria Math" w:hAnsi="Cambria Math"/>
                  </w:rPr>
                  <m:t>A</m:t>
                </m:r>
                <m:ctrlPr>
                  <w:rPr>
                    <w:rFonts w:ascii="Cambria Math" w:hAnsi="Cambria Math"/>
                  </w:rPr>
                </m:ctrlPr>
              </m:e>
              <m:sub>
                <m:r>
                  <m:rPr/>
                  <w:rPr>
                    <w:rFonts w:ascii="Cambria Math" w:hAnsi="Cambria Math"/>
                  </w:rPr>
                  <m:t>3b2</m:t>
                </m:r>
                <m:ctrlPr>
                  <w:rPr>
                    <w:rFonts w:ascii="Cambria Math" w:hAnsi="Cambria Math"/>
                  </w:rPr>
                </m:ctrlPr>
              </m:sub>
            </m:sSub>
            <m:ctrlPr>
              <w:rPr>
                <w:rFonts w:ascii="Cambria Math" w:hAnsi="Cambria Math"/>
              </w:rPr>
            </m:ctrlPr>
          </m:num>
          <m:den>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w4</m:t>
                </m:r>
                <m:ctrlPr>
                  <w:rPr>
                    <w:rFonts w:ascii="Cambria Math" w:hAnsi="Cambria Math"/>
                    <w:i/>
                  </w:rPr>
                </m:ctrlPr>
              </m:sub>
            </m:sSub>
            <m:ctrlPr>
              <w:rPr>
                <w:rFonts w:ascii="Cambria Math" w:hAnsi="Cambria Math"/>
              </w:rPr>
            </m:ctrlPr>
          </m:den>
        </m:f>
        <m:r>
          <m:rPr/>
          <w:rPr>
            <w:rFonts w:ascii="Cambria Math" w:hAnsi="Cambria Math"/>
          </w:rPr>
          <m:t>×100%</m:t>
        </m:r>
      </m:oMath>
      <w:r>
        <w:rPr>
          <w:rFonts w:ascii="宋体" w:hAnsi="宋体"/>
        </w:rPr>
        <w:tab/>
      </w:r>
      <w:r>
        <w:rPr>
          <w:rFonts w:hint="eastAsia" w:ascii="宋体" w:hAnsi="宋体"/>
        </w:rPr>
        <w:t>（4</w:t>
      </w:r>
      <w:r>
        <w:rPr>
          <w:rFonts w:ascii="宋体" w:hAnsi="宋体"/>
        </w:rPr>
        <w:t>.4.2b</w:t>
      </w:r>
      <w:r>
        <w:rPr>
          <w:rFonts w:hint="eastAsia" w:ascii="宋体" w:hAnsi="宋体"/>
        </w:rPr>
        <w:t>）</w:t>
      </w:r>
    </w:p>
    <w:p>
      <w:pPr>
        <w:pStyle w:val="38"/>
        <w:rPr>
          <w:rFonts w:ascii="宋体" w:hAnsi="宋体"/>
        </w:rPr>
      </w:pPr>
      <w:r>
        <w:rPr>
          <w:rFonts w:hint="eastAsia" w:ascii="宋体" w:hAnsi="宋体"/>
        </w:rPr>
        <w:t>式中：</w:t>
      </w:r>
      <w:r>
        <w:rPr>
          <w:rFonts w:ascii="宋体" w:hAnsi="宋体"/>
        </w:rPr>
        <w:t>q</w:t>
      </w:r>
      <w:r>
        <w:rPr>
          <w:rFonts w:hint="eastAsia" w:ascii="宋体" w:hAnsi="宋体"/>
          <w:vertAlign w:val="subscript"/>
        </w:rPr>
        <w:t>3</w:t>
      </w:r>
      <w:r>
        <w:rPr>
          <w:rFonts w:ascii="宋体" w:hAnsi="宋体"/>
          <w:vertAlign w:val="subscript"/>
        </w:rPr>
        <w:t>b2</w:t>
      </w:r>
      <w:r>
        <w:rPr>
          <w:rFonts w:hint="eastAsia" w:ascii="宋体" w:hAnsi="宋体"/>
        </w:rPr>
        <w:t>——公共区域装配式墙面的应用比例；</w:t>
      </w:r>
    </w:p>
    <w:p>
      <w:pPr>
        <w:pStyle w:val="26"/>
        <w:rPr>
          <w:rFonts w:ascii="宋体" w:hAnsi="宋体"/>
        </w:rPr>
      </w:pPr>
      <w:r>
        <w:rPr>
          <w:rFonts w:hint="eastAsia" w:ascii="宋体" w:hAnsi="宋体"/>
        </w:rPr>
        <w:t>A</w:t>
      </w:r>
      <w:r>
        <w:rPr>
          <w:rFonts w:hint="eastAsia" w:ascii="宋体" w:hAnsi="宋体"/>
          <w:vertAlign w:val="subscript"/>
        </w:rPr>
        <w:t>3</w:t>
      </w:r>
      <w:r>
        <w:rPr>
          <w:rFonts w:ascii="宋体" w:hAnsi="宋体"/>
          <w:vertAlign w:val="subscript"/>
        </w:rPr>
        <w:t>b2</w:t>
      </w:r>
      <w:r>
        <w:rPr>
          <w:rFonts w:hint="eastAsia" w:ascii="宋体" w:hAnsi="宋体"/>
        </w:rPr>
        <w:t>——各楼层公共区域采用装配式墙面的墙体表面积之和，计算时可不扣除门、窗及预留洞口等的面积；</w:t>
      </w:r>
    </w:p>
    <w:p>
      <w:pPr>
        <w:pStyle w:val="26"/>
        <w:ind w:left="1838" w:leftChars="398"/>
        <w:rPr>
          <w:rFonts w:ascii="宋体" w:hAnsi="宋体"/>
        </w:rPr>
      </w:pPr>
      <w:r>
        <w:rPr>
          <w:rFonts w:hint="eastAsia" w:ascii="宋体" w:hAnsi="宋体"/>
        </w:rPr>
        <w:t>A</w:t>
      </w:r>
      <w:r>
        <w:rPr>
          <w:rFonts w:ascii="宋体" w:hAnsi="宋体"/>
          <w:vertAlign w:val="subscript"/>
        </w:rPr>
        <w:t xml:space="preserve">w4 </w:t>
      </w:r>
      <w:r>
        <w:rPr>
          <w:rFonts w:hint="eastAsia" w:ascii="宋体" w:hAnsi="宋体"/>
        </w:rPr>
        <w:t>——各楼层公共区域</w:t>
      </w:r>
      <w:r>
        <w:rPr>
          <w:rFonts w:ascii="宋体" w:hAnsi="宋体"/>
        </w:rPr>
        <w:t>内</w:t>
      </w:r>
      <w:r>
        <w:rPr>
          <w:rFonts w:hint="eastAsia" w:ascii="宋体" w:hAnsi="宋体"/>
        </w:rPr>
        <w:t>隔墙（</w:t>
      </w:r>
      <w:r>
        <w:rPr>
          <w:rFonts w:ascii="宋体" w:hAnsi="宋体"/>
        </w:rPr>
        <w:t>包含</w:t>
      </w:r>
      <w:r>
        <w:rPr>
          <w:rFonts w:hint="eastAsia" w:ascii="宋体" w:hAnsi="宋体"/>
        </w:rPr>
        <w:t>承重墙）墙面总面积，计算时可不扣除门、窗、预留洞口等的面积；当设备房和</w:t>
      </w:r>
      <w:r>
        <w:rPr>
          <w:rFonts w:ascii="宋体" w:hAnsi="宋体"/>
        </w:rPr>
        <w:t>阳台</w:t>
      </w:r>
      <w:r>
        <w:rPr>
          <w:rFonts w:hint="eastAsia" w:ascii="宋体" w:hAnsi="宋体"/>
        </w:rPr>
        <w:t>的墙面未采用干式工法时，可不计此部分面积。</w:t>
      </w:r>
    </w:p>
    <w:p>
      <w:pPr>
        <w:pStyle w:val="24"/>
        <w:ind w:firstLine="560" w:firstLineChars="200"/>
        <w:rPr>
          <w:rFonts w:ascii="宋体" w:hAnsi="宋体"/>
        </w:rPr>
      </w:pPr>
      <w:r>
        <w:rPr>
          <w:rFonts w:hint="eastAsia" w:ascii="宋体" w:hAnsi="宋体"/>
        </w:rPr>
        <w:t>公共区域装配式楼</w:t>
      </w:r>
      <w:r>
        <w:rPr>
          <w:rFonts w:ascii="宋体" w:hAnsi="宋体"/>
        </w:rPr>
        <w:t>地面</w:t>
      </w:r>
      <w:r>
        <w:rPr>
          <w:rFonts w:hint="eastAsia" w:ascii="宋体" w:hAnsi="宋体"/>
        </w:rPr>
        <w:t>的应用比例应按下式计算：</w:t>
      </w:r>
    </w:p>
    <w:p>
      <w:pPr>
        <w:pStyle w:val="40"/>
        <w:rPr>
          <w:rFonts w:ascii="宋体" w:hAnsi="宋体"/>
        </w:rPr>
      </w:pPr>
      <w:r>
        <w:rPr>
          <w:rFonts w:ascii="宋体" w:hAnsi="宋体"/>
        </w:rPr>
        <w:tab/>
      </w:r>
      <m:oMath>
        <m:sSub>
          <m:sSubPr>
            <m:ctrlPr>
              <w:rPr>
                <w:rFonts w:ascii="Cambria Math" w:hAnsi="Cambria Math"/>
              </w:rPr>
            </m:ctrlPr>
          </m:sSubPr>
          <m:e>
            <m:r>
              <m:rPr/>
              <w:rPr>
                <w:rFonts w:ascii="Cambria Math" w:hAnsi="Cambria Math"/>
              </w:rPr>
              <m:t>q</m:t>
            </m:r>
            <m:ctrlPr>
              <w:rPr>
                <w:rFonts w:ascii="Cambria Math" w:hAnsi="Cambria Math"/>
              </w:rPr>
            </m:ctrlPr>
          </m:e>
          <m:sub>
            <m:r>
              <m:rPr/>
              <w:rPr>
                <w:rFonts w:ascii="Cambria Math" w:hAnsi="Cambria Math"/>
              </w:rPr>
              <m:t>3b3</m:t>
            </m:r>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hint="eastAsia" w:ascii="Cambria Math" w:hAnsi="Cambria Math"/>
                  </w:rPr>
                  <m:t>A</m:t>
                </m:r>
                <m:ctrlPr>
                  <w:rPr>
                    <w:rFonts w:ascii="Cambria Math" w:hAnsi="Cambria Math"/>
                  </w:rPr>
                </m:ctrlPr>
              </m:e>
              <m:sub>
                <m:r>
                  <m:rPr/>
                  <w:rPr>
                    <w:rFonts w:ascii="Cambria Math" w:hAnsi="Cambria Math"/>
                  </w:rPr>
                  <m:t>3b3</m:t>
                </m:r>
                <m:ctrlPr>
                  <w:rPr>
                    <w:rFonts w:ascii="Cambria Math" w:hAnsi="Cambria Math"/>
                  </w:rPr>
                </m:ctrlPr>
              </m:sub>
            </m:sSub>
            <m:ctrlPr>
              <w:rPr>
                <w:rFonts w:ascii="Cambria Math" w:hAnsi="Cambria Math"/>
              </w:rPr>
            </m:ctrlPr>
          </m:num>
          <m:den>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L1</m:t>
                </m:r>
                <m:ctrlPr>
                  <w:rPr>
                    <w:rFonts w:ascii="Cambria Math" w:hAnsi="Cambria Math"/>
                    <w:i/>
                  </w:rPr>
                </m:ctrlPr>
              </m:sub>
            </m:sSub>
            <m:ctrlPr>
              <w:rPr>
                <w:rFonts w:ascii="Cambria Math" w:hAnsi="Cambria Math"/>
              </w:rPr>
            </m:ctrlPr>
          </m:den>
        </m:f>
        <m:r>
          <m:rPr/>
          <w:rPr>
            <w:rFonts w:ascii="Cambria Math" w:hAnsi="Cambria Math"/>
          </w:rPr>
          <m:t>×100%</m:t>
        </m:r>
      </m:oMath>
      <w:r>
        <w:rPr>
          <w:rFonts w:ascii="宋体" w:hAnsi="宋体"/>
        </w:rPr>
        <w:tab/>
      </w:r>
      <w:r>
        <w:rPr>
          <w:rFonts w:hint="eastAsia" w:ascii="宋体" w:hAnsi="宋体"/>
        </w:rPr>
        <w:t>（4</w:t>
      </w:r>
      <w:r>
        <w:rPr>
          <w:rFonts w:ascii="宋体" w:hAnsi="宋体"/>
        </w:rPr>
        <w:t>.4.2c</w:t>
      </w:r>
      <w:r>
        <w:rPr>
          <w:rFonts w:hint="eastAsia" w:ascii="宋体" w:hAnsi="宋体"/>
        </w:rPr>
        <w:t>）</w:t>
      </w:r>
    </w:p>
    <w:p>
      <w:pPr>
        <w:pStyle w:val="24"/>
        <w:rPr>
          <w:rFonts w:ascii="宋体" w:hAnsi="宋体"/>
        </w:rPr>
      </w:pPr>
      <w:r>
        <w:rPr>
          <w:rFonts w:hint="eastAsia" w:ascii="宋体" w:hAnsi="宋体"/>
        </w:rPr>
        <w:t>式中：</w:t>
      </w:r>
      <w:r>
        <w:rPr>
          <w:rFonts w:ascii="宋体" w:hAnsi="宋体"/>
        </w:rPr>
        <w:t>q</w:t>
      </w:r>
      <w:r>
        <w:rPr>
          <w:rFonts w:hint="eastAsia" w:ascii="宋体" w:hAnsi="宋体"/>
          <w:vertAlign w:val="subscript"/>
        </w:rPr>
        <w:t>3</w:t>
      </w:r>
      <w:r>
        <w:rPr>
          <w:rFonts w:ascii="宋体" w:hAnsi="宋体"/>
          <w:vertAlign w:val="subscript"/>
        </w:rPr>
        <w:t>b3</w:t>
      </w:r>
      <w:r>
        <w:rPr>
          <w:rFonts w:hint="eastAsia" w:ascii="宋体" w:hAnsi="宋体"/>
        </w:rPr>
        <w:t>——公共区域装配式楼</w:t>
      </w:r>
      <w:r>
        <w:rPr>
          <w:rFonts w:ascii="宋体" w:hAnsi="宋体"/>
        </w:rPr>
        <w:t>地面</w:t>
      </w:r>
      <w:r>
        <w:rPr>
          <w:rFonts w:hint="eastAsia" w:ascii="宋体" w:hAnsi="宋体"/>
        </w:rPr>
        <w:t>的应用比例；</w:t>
      </w:r>
    </w:p>
    <w:p>
      <w:pPr>
        <w:pStyle w:val="26"/>
        <w:ind w:left="1838" w:leftChars="398"/>
        <w:rPr>
          <w:rFonts w:ascii="宋体" w:hAnsi="宋体"/>
        </w:rPr>
      </w:pPr>
      <w:r>
        <w:rPr>
          <w:rFonts w:hint="eastAsia" w:ascii="宋体" w:hAnsi="宋体"/>
        </w:rPr>
        <w:t>A</w:t>
      </w:r>
      <w:r>
        <w:rPr>
          <w:rFonts w:hint="eastAsia" w:ascii="宋体" w:hAnsi="宋体"/>
          <w:vertAlign w:val="subscript"/>
        </w:rPr>
        <w:t>3</w:t>
      </w:r>
      <w:r>
        <w:rPr>
          <w:rFonts w:ascii="宋体" w:hAnsi="宋体"/>
          <w:vertAlign w:val="subscript"/>
        </w:rPr>
        <w:t>b3</w:t>
      </w:r>
      <w:r>
        <w:rPr>
          <w:rFonts w:hint="eastAsia" w:ascii="宋体" w:hAnsi="宋体"/>
        </w:rPr>
        <w:t>——各楼层公共区域采用装配式楼</w:t>
      </w:r>
      <w:r>
        <w:rPr>
          <w:rFonts w:ascii="宋体" w:hAnsi="宋体"/>
        </w:rPr>
        <w:t>地面</w:t>
      </w:r>
      <w:r>
        <w:rPr>
          <w:rFonts w:hint="eastAsia" w:ascii="宋体" w:hAnsi="宋体"/>
        </w:rPr>
        <w:t>的水平投影面积之和；</w:t>
      </w:r>
    </w:p>
    <w:p>
      <w:pPr>
        <w:pStyle w:val="26"/>
        <w:ind w:left="1838" w:leftChars="398"/>
        <w:rPr>
          <w:rFonts w:ascii="宋体" w:hAnsi="宋体"/>
        </w:rPr>
      </w:pPr>
      <w:r>
        <w:rPr>
          <w:rFonts w:hint="eastAsia" w:ascii="宋体" w:hAnsi="宋体"/>
        </w:rPr>
        <w:t>A</w:t>
      </w:r>
      <w:r>
        <w:rPr>
          <w:rFonts w:ascii="宋体" w:hAnsi="宋体"/>
          <w:vertAlign w:val="subscript"/>
        </w:rPr>
        <w:t xml:space="preserve">L1 </w:t>
      </w:r>
      <w:r>
        <w:rPr>
          <w:rFonts w:hint="eastAsia" w:ascii="宋体" w:hAnsi="宋体"/>
        </w:rPr>
        <w:t>——各楼层公共区域建筑平面面积扣除墙、柱、洞口的水平投面积；当设备房和</w:t>
      </w:r>
      <w:r>
        <w:rPr>
          <w:rFonts w:ascii="宋体" w:hAnsi="宋体"/>
        </w:rPr>
        <w:t>阳台</w:t>
      </w:r>
      <w:r>
        <w:rPr>
          <w:rFonts w:hint="eastAsia" w:ascii="宋体" w:hAnsi="宋体"/>
        </w:rPr>
        <w:t>的楼地面未采用干式工法时，可不计此部分面积。</w:t>
      </w:r>
    </w:p>
    <w:p>
      <w:pPr>
        <w:pStyle w:val="24"/>
        <w:ind w:firstLine="560" w:firstLineChars="200"/>
        <w:rPr>
          <w:rFonts w:ascii="宋体" w:hAnsi="宋体"/>
        </w:rPr>
      </w:pPr>
      <w:r>
        <w:rPr>
          <w:rFonts w:hint="eastAsia" w:ascii="宋体" w:hAnsi="宋体"/>
        </w:rPr>
        <w:t>户内区域/功能房间区域装配式</w:t>
      </w:r>
      <w:r>
        <w:rPr>
          <w:rFonts w:ascii="宋体" w:hAnsi="宋体"/>
        </w:rPr>
        <w:t>吊顶</w:t>
      </w:r>
      <w:r>
        <w:rPr>
          <w:rFonts w:hint="eastAsia" w:ascii="宋体" w:hAnsi="宋体"/>
        </w:rPr>
        <w:t>的应用比例应按下式计算：</w:t>
      </w:r>
    </w:p>
    <w:p>
      <w:pPr>
        <w:pStyle w:val="40"/>
        <w:rPr>
          <w:rFonts w:ascii="宋体" w:hAnsi="宋体"/>
        </w:rPr>
      </w:pPr>
      <w:r>
        <w:rPr>
          <w:rFonts w:ascii="宋体" w:hAnsi="宋体"/>
        </w:rPr>
        <w:tab/>
      </w:r>
      <m:oMath>
        <m:sSub>
          <m:sSubPr>
            <m:ctrlPr>
              <w:rPr>
                <w:rFonts w:ascii="Cambria Math" w:hAnsi="Cambria Math"/>
              </w:rPr>
            </m:ctrlPr>
          </m:sSubPr>
          <m:e>
            <m:r>
              <m:rPr/>
              <w:rPr>
                <w:rFonts w:ascii="Cambria Math" w:hAnsi="Cambria Math"/>
              </w:rPr>
              <m:t>q</m:t>
            </m:r>
            <m:ctrlPr>
              <w:rPr>
                <w:rFonts w:ascii="Cambria Math" w:hAnsi="Cambria Math"/>
              </w:rPr>
            </m:ctrlPr>
          </m:e>
          <m:sub>
            <m:r>
              <m:rPr/>
              <w:rPr>
                <w:rFonts w:ascii="Cambria Math" w:hAnsi="Cambria Math"/>
              </w:rPr>
              <m:t>3b4</m:t>
            </m:r>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hint="eastAsia" w:ascii="Cambria Math" w:hAnsi="Cambria Math"/>
                  </w:rPr>
                  <m:t>A</m:t>
                </m:r>
                <m:ctrlPr>
                  <w:rPr>
                    <w:rFonts w:ascii="Cambria Math" w:hAnsi="Cambria Math"/>
                  </w:rPr>
                </m:ctrlPr>
              </m:e>
              <m:sub>
                <m:r>
                  <m:rPr/>
                  <w:rPr>
                    <w:rFonts w:ascii="Cambria Math" w:hAnsi="Cambria Math"/>
                  </w:rPr>
                  <m:t>3b4</m:t>
                </m:r>
                <m:ctrlPr>
                  <w:rPr>
                    <w:rFonts w:ascii="Cambria Math" w:hAnsi="Cambria Math"/>
                  </w:rPr>
                </m:ctrlPr>
              </m:sub>
            </m:sSub>
            <m:ctrlPr>
              <w:rPr>
                <w:rFonts w:ascii="Cambria Math" w:hAnsi="Cambria Math"/>
              </w:rPr>
            </m:ctrlPr>
          </m:num>
          <m:den>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C2</m:t>
                </m:r>
                <m:ctrlPr>
                  <w:rPr>
                    <w:rFonts w:ascii="Cambria Math" w:hAnsi="Cambria Math"/>
                    <w:i/>
                  </w:rPr>
                </m:ctrlPr>
              </m:sub>
            </m:sSub>
            <m:ctrlPr>
              <w:rPr>
                <w:rFonts w:ascii="Cambria Math" w:hAnsi="Cambria Math"/>
              </w:rPr>
            </m:ctrlPr>
          </m:den>
        </m:f>
        <m:r>
          <m:rPr/>
          <w:rPr>
            <w:rFonts w:ascii="Cambria Math" w:hAnsi="Cambria Math"/>
          </w:rPr>
          <m:t>×100%</m:t>
        </m:r>
      </m:oMath>
      <w:r>
        <w:rPr>
          <w:rFonts w:ascii="宋体" w:hAnsi="宋体"/>
        </w:rPr>
        <w:tab/>
      </w:r>
      <w:r>
        <w:rPr>
          <w:rFonts w:hint="eastAsia" w:ascii="宋体" w:hAnsi="宋体"/>
        </w:rPr>
        <w:t>（4</w:t>
      </w:r>
      <w:r>
        <w:rPr>
          <w:rFonts w:ascii="宋体" w:hAnsi="宋体"/>
        </w:rPr>
        <w:t>.4.2d</w:t>
      </w:r>
      <w:r>
        <w:rPr>
          <w:rFonts w:hint="eastAsia" w:ascii="宋体" w:hAnsi="宋体"/>
        </w:rPr>
        <w:t>）</w:t>
      </w:r>
    </w:p>
    <w:p>
      <w:pPr>
        <w:pStyle w:val="38"/>
        <w:rPr>
          <w:rFonts w:ascii="宋体" w:hAnsi="宋体"/>
        </w:rPr>
      </w:pPr>
      <w:r>
        <w:rPr>
          <w:rFonts w:hint="eastAsia" w:ascii="宋体" w:hAnsi="宋体"/>
        </w:rPr>
        <w:t>式中：</w:t>
      </w:r>
      <w:r>
        <w:rPr>
          <w:rFonts w:ascii="宋体" w:hAnsi="宋体"/>
        </w:rPr>
        <w:t>q</w:t>
      </w:r>
      <w:r>
        <w:rPr>
          <w:rFonts w:hint="eastAsia" w:ascii="宋体" w:hAnsi="宋体"/>
          <w:vertAlign w:val="subscript"/>
        </w:rPr>
        <w:t>3</w:t>
      </w:r>
      <w:r>
        <w:rPr>
          <w:rFonts w:ascii="宋体" w:hAnsi="宋体"/>
          <w:vertAlign w:val="subscript"/>
        </w:rPr>
        <w:t>b4</w:t>
      </w:r>
      <w:r>
        <w:rPr>
          <w:rFonts w:hint="eastAsia" w:ascii="宋体" w:hAnsi="宋体"/>
        </w:rPr>
        <w:t>——户内区域/功能房间区域装配式</w:t>
      </w:r>
      <w:r>
        <w:rPr>
          <w:rFonts w:ascii="宋体" w:hAnsi="宋体"/>
        </w:rPr>
        <w:t>吊顶</w:t>
      </w:r>
      <w:r>
        <w:rPr>
          <w:rFonts w:hint="eastAsia" w:ascii="宋体" w:hAnsi="宋体"/>
        </w:rPr>
        <w:t>的应用比例；</w:t>
      </w:r>
    </w:p>
    <w:p>
      <w:pPr>
        <w:pStyle w:val="26"/>
        <w:rPr>
          <w:rFonts w:ascii="宋体" w:hAnsi="宋体"/>
        </w:rPr>
      </w:pPr>
      <w:r>
        <w:rPr>
          <w:rFonts w:hint="eastAsia" w:ascii="宋体" w:hAnsi="宋体"/>
        </w:rPr>
        <w:t>A</w:t>
      </w:r>
      <w:r>
        <w:rPr>
          <w:rFonts w:hint="eastAsia" w:ascii="宋体" w:hAnsi="宋体"/>
          <w:vertAlign w:val="subscript"/>
        </w:rPr>
        <w:t>3</w:t>
      </w:r>
      <w:r>
        <w:rPr>
          <w:rFonts w:ascii="宋体" w:hAnsi="宋体"/>
          <w:vertAlign w:val="subscript"/>
        </w:rPr>
        <w:t>b4</w:t>
      </w:r>
      <w:r>
        <w:rPr>
          <w:rFonts w:hint="eastAsia" w:ascii="宋体" w:hAnsi="宋体"/>
        </w:rPr>
        <w:t>——各楼层户内区域/功能房间区域采用装配式</w:t>
      </w:r>
      <w:r>
        <w:rPr>
          <w:rFonts w:ascii="宋体" w:hAnsi="宋体"/>
        </w:rPr>
        <w:t>吊顶</w:t>
      </w:r>
      <w:r>
        <w:rPr>
          <w:rFonts w:hint="eastAsia" w:ascii="宋体" w:hAnsi="宋体"/>
        </w:rPr>
        <w:t>的水平投影面积之和；</w:t>
      </w:r>
    </w:p>
    <w:p>
      <w:pPr>
        <w:pStyle w:val="26"/>
        <w:ind w:left="1838" w:leftChars="398"/>
        <w:rPr>
          <w:rFonts w:ascii="宋体" w:hAnsi="宋体"/>
        </w:rPr>
      </w:pPr>
      <w:r>
        <w:rPr>
          <w:rFonts w:hint="eastAsia" w:ascii="宋体" w:hAnsi="宋体"/>
        </w:rPr>
        <w:t>A</w:t>
      </w:r>
      <w:r>
        <w:rPr>
          <w:rFonts w:ascii="宋体" w:hAnsi="宋体"/>
          <w:vertAlign w:val="subscript"/>
        </w:rPr>
        <w:t xml:space="preserve">C2 </w:t>
      </w:r>
      <w:r>
        <w:rPr>
          <w:rFonts w:hint="eastAsia" w:ascii="宋体" w:hAnsi="宋体"/>
        </w:rPr>
        <w:t>——各楼层户内区域/功能房间区域</w:t>
      </w:r>
      <w:r>
        <w:rPr>
          <w:rFonts w:ascii="宋体" w:hAnsi="宋体"/>
        </w:rPr>
        <w:t>，</w:t>
      </w:r>
      <w:r>
        <w:rPr>
          <w:rFonts w:hint="eastAsia" w:ascii="宋体" w:hAnsi="宋体"/>
        </w:rPr>
        <w:t>建筑平面面积扣除墙、柱的水平投影面积；当设备房和阳台的</w:t>
      </w:r>
      <w:r>
        <w:rPr>
          <w:rFonts w:ascii="宋体" w:hAnsi="宋体"/>
        </w:rPr>
        <w:t>吊顶</w:t>
      </w:r>
      <w:r>
        <w:rPr>
          <w:rFonts w:hint="eastAsia" w:ascii="宋体" w:hAnsi="宋体"/>
        </w:rPr>
        <w:t>未采用干式工法时，可不计此部分面积。</w:t>
      </w:r>
    </w:p>
    <w:p>
      <w:pPr>
        <w:pStyle w:val="24"/>
        <w:ind w:firstLine="560" w:firstLineChars="200"/>
        <w:rPr>
          <w:rFonts w:ascii="宋体" w:hAnsi="宋体"/>
        </w:rPr>
      </w:pPr>
      <w:r>
        <w:rPr>
          <w:rFonts w:hint="eastAsia" w:ascii="宋体" w:hAnsi="宋体"/>
        </w:rPr>
        <w:t>户内区域/功能房间区域装配式墙面的应用比例应按下式计算：</w:t>
      </w:r>
    </w:p>
    <w:p>
      <w:pPr>
        <w:pStyle w:val="40"/>
        <w:rPr>
          <w:rFonts w:ascii="宋体" w:hAnsi="宋体"/>
        </w:rPr>
      </w:pPr>
      <w:r>
        <w:rPr>
          <w:rFonts w:ascii="宋体" w:hAnsi="宋体"/>
        </w:rPr>
        <w:tab/>
      </w:r>
      <m:oMath>
        <m:sSub>
          <m:sSubPr>
            <m:ctrlPr>
              <w:rPr>
                <w:rFonts w:ascii="Cambria Math" w:hAnsi="Cambria Math"/>
              </w:rPr>
            </m:ctrlPr>
          </m:sSubPr>
          <m:e>
            <m:r>
              <m:rPr/>
              <w:rPr>
                <w:rFonts w:ascii="Cambria Math" w:hAnsi="Cambria Math"/>
              </w:rPr>
              <m:t>q</m:t>
            </m:r>
            <m:ctrlPr>
              <w:rPr>
                <w:rFonts w:ascii="Cambria Math" w:hAnsi="Cambria Math"/>
              </w:rPr>
            </m:ctrlPr>
          </m:e>
          <m:sub>
            <m:r>
              <m:rPr/>
              <w:rPr>
                <w:rFonts w:ascii="Cambria Math" w:hAnsi="Cambria Math"/>
              </w:rPr>
              <m:t>3b5</m:t>
            </m:r>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hint="eastAsia" w:ascii="Cambria Math" w:hAnsi="Cambria Math"/>
                  </w:rPr>
                  <m:t>A</m:t>
                </m:r>
                <m:ctrlPr>
                  <w:rPr>
                    <w:rFonts w:ascii="Cambria Math" w:hAnsi="Cambria Math"/>
                  </w:rPr>
                </m:ctrlPr>
              </m:e>
              <m:sub>
                <m:r>
                  <m:rPr/>
                  <w:rPr>
                    <w:rFonts w:ascii="Cambria Math" w:hAnsi="Cambria Math"/>
                  </w:rPr>
                  <m:t>3b5</m:t>
                </m:r>
                <m:ctrlPr>
                  <w:rPr>
                    <w:rFonts w:ascii="Cambria Math" w:hAnsi="Cambria Math"/>
                  </w:rPr>
                </m:ctrlPr>
              </m:sub>
            </m:sSub>
            <m:ctrlPr>
              <w:rPr>
                <w:rFonts w:ascii="Cambria Math" w:hAnsi="Cambria Math"/>
              </w:rPr>
            </m:ctrlPr>
          </m:num>
          <m:den>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w5</m:t>
                </m:r>
                <m:ctrlPr>
                  <w:rPr>
                    <w:rFonts w:ascii="Cambria Math" w:hAnsi="Cambria Math"/>
                    <w:i/>
                  </w:rPr>
                </m:ctrlPr>
              </m:sub>
            </m:sSub>
            <m:ctrlPr>
              <w:rPr>
                <w:rFonts w:ascii="Cambria Math" w:hAnsi="Cambria Math"/>
              </w:rPr>
            </m:ctrlPr>
          </m:den>
        </m:f>
        <m:r>
          <m:rPr/>
          <w:rPr>
            <w:rFonts w:ascii="Cambria Math" w:hAnsi="Cambria Math"/>
          </w:rPr>
          <m:t>×100%</m:t>
        </m:r>
      </m:oMath>
      <w:r>
        <w:rPr>
          <w:rFonts w:ascii="宋体" w:hAnsi="宋体"/>
        </w:rPr>
        <w:tab/>
      </w:r>
      <w:r>
        <w:rPr>
          <w:rFonts w:hint="eastAsia" w:ascii="宋体" w:hAnsi="宋体"/>
        </w:rPr>
        <w:t>（4</w:t>
      </w:r>
      <w:r>
        <w:rPr>
          <w:rFonts w:ascii="宋体" w:hAnsi="宋体"/>
        </w:rPr>
        <w:t>.4.2e</w:t>
      </w:r>
      <w:r>
        <w:rPr>
          <w:rFonts w:hint="eastAsia" w:ascii="宋体" w:hAnsi="宋体"/>
        </w:rPr>
        <w:t>）</w:t>
      </w:r>
    </w:p>
    <w:p>
      <w:pPr>
        <w:pStyle w:val="38"/>
        <w:rPr>
          <w:rFonts w:ascii="宋体" w:hAnsi="宋体"/>
        </w:rPr>
      </w:pPr>
      <w:r>
        <w:rPr>
          <w:rFonts w:hint="eastAsia" w:ascii="宋体" w:hAnsi="宋体"/>
        </w:rPr>
        <w:t>式中：</w:t>
      </w:r>
      <w:r>
        <w:rPr>
          <w:rFonts w:ascii="宋体" w:hAnsi="宋体"/>
        </w:rPr>
        <w:t>q</w:t>
      </w:r>
      <w:r>
        <w:rPr>
          <w:rFonts w:hint="eastAsia" w:ascii="宋体" w:hAnsi="宋体"/>
          <w:vertAlign w:val="subscript"/>
        </w:rPr>
        <w:t>3</w:t>
      </w:r>
      <w:r>
        <w:rPr>
          <w:rFonts w:ascii="宋体" w:hAnsi="宋体"/>
          <w:vertAlign w:val="subscript"/>
        </w:rPr>
        <w:t>b5</w:t>
      </w:r>
      <w:r>
        <w:rPr>
          <w:rFonts w:hint="eastAsia" w:ascii="宋体" w:hAnsi="宋体"/>
        </w:rPr>
        <w:t>——户内区域/功能房间区域装配式墙面的应用比例；</w:t>
      </w:r>
    </w:p>
    <w:p>
      <w:pPr>
        <w:pStyle w:val="26"/>
        <w:rPr>
          <w:rFonts w:ascii="宋体" w:hAnsi="宋体"/>
        </w:rPr>
      </w:pPr>
      <w:r>
        <w:rPr>
          <w:rFonts w:hint="eastAsia" w:ascii="宋体" w:hAnsi="宋体"/>
        </w:rPr>
        <w:t>A</w:t>
      </w:r>
      <w:r>
        <w:rPr>
          <w:rFonts w:hint="eastAsia" w:ascii="宋体" w:hAnsi="宋体"/>
          <w:vertAlign w:val="subscript"/>
        </w:rPr>
        <w:t>3</w:t>
      </w:r>
      <w:r>
        <w:rPr>
          <w:rFonts w:ascii="宋体" w:hAnsi="宋体"/>
          <w:vertAlign w:val="subscript"/>
        </w:rPr>
        <w:t>b5</w:t>
      </w:r>
      <w:r>
        <w:rPr>
          <w:rFonts w:hint="eastAsia" w:ascii="宋体" w:hAnsi="宋体"/>
        </w:rPr>
        <w:t>——各楼层户内区域/功能房间区域采用装配式墙面的墙体表面积之和，计算时可不扣除门、窗及预留洞口等的面积；</w:t>
      </w:r>
    </w:p>
    <w:p>
      <w:pPr>
        <w:pStyle w:val="26"/>
        <w:ind w:left="1838" w:leftChars="398"/>
        <w:rPr>
          <w:rFonts w:ascii="宋体" w:hAnsi="宋体"/>
        </w:rPr>
      </w:pPr>
      <w:r>
        <w:rPr>
          <w:rFonts w:hint="eastAsia" w:ascii="宋体" w:hAnsi="宋体"/>
        </w:rPr>
        <w:t>A</w:t>
      </w:r>
      <w:r>
        <w:rPr>
          <w:rFonts w:ascii="宋体" w:hAnsi="宋体"/>
          <w:vertAlign w:val="subscript"/>
        </w:rPr>
        <w:t xml:space="preserve">w5 </w:t>
      </w:r>
      <w:r>
        <w:rPr>
          <w:rFonts w:hint="eastAsia" w:ascii="宋体" w:hAnsi="宋体"/>
        </w:rPr>
        <w:t>——各楼层户内区域/功能房间区域内隔墙（</w:t>
      </w:r>
      <w:r>
        <w:rPr>
          <w:rFonts w:ascii="宋体" w:hAnsi="宋体"/>
        </w:rPr>
        <w:t>包含</w:t>
      </w:r>
      <w:r>
        <w:rPr>
          <w:rFonts w:hint="eastAsia" w:ascii="宋体" w:hAnsi="宋体"/>
        </w:rPr>
        <w:t>承重墙）墙面总面积，计算时可不扣除门、窗、预留洞口等的面积；当设备房和</w:t>
      </w:r>
      <w:r>
        <w:rPr>
          <w:rFonts w:ascii="宋体" w:hAnsi="宋体"/>
        </w:rPr>
        <w:t>阳台</w:t>
      </w:r>
      <w:r>
        <w:rPr>
          <w:rFonts w:hint="eastAsia" w:ascii="宋体" w:hAnsi="宋体"/>
        </w:rPr>
        <w:t>的墙面未采用干式工法时，可不计此部分面积。</w:t>
      </w:r>
    </w:p>
    <w:p>
      <w:pPr>
        <w:pStyle w:val="24"/>
        <w:ind w:firstLine="560" w:firstLineChars="200"/>
        <w:rPr>
          <w:rFonts w:ascii="宋体" w:hAnsi="宋体"/>
        </w:rPr>
      </w:pPr>
      <w:r>
        <w:rPr>
          <w:rFonts w:hint="eastAsia" w:ascii="宋体" w:hAnsi="宋体"/>
        </w:rPr>
        <w:t>户内区域/功能房间区域装配式楼</w:t>
      </w:r>
      <w:r>
        <w:rPr>
          <w:rFonts w:ascii="宋体" w:hAnsi="宋体"/>
        </w:rPr>
        <w:t>地面</w:t>
      </w:r>
      <w:r>
        <w:rPr>
          <w:rFonts w:hint="eastAsia" w:ascii="宋体" w:hAnsi="宋体"/>
        </w:rPr>
        <w:t>的应用比例应按下式计算：</w:t>
      </w:r>
    </w:p>
    <w:p>
      <w:pPr>
        <w:pStyle w:val="40"/>
        <w:rPr>
          <w:rFonts w:ascii="宋体" w:hAnsi="宋体"/>
        </w:rPr>
      </w:pPr>
      <w:r>
        <w:rPr>
          <w:rFonts w:ascii="宋体" w:hAnsi="宋体"/>
        </w:rPr>
        <w:tab/>
      </w:r>
      <m:oMath>
        <m:sSub>
          <m:sSubPr>
            <m:ctrlPr>
              <w:rPr>
                <w:rFonts w:ascii="Cambria Math" w:hAnsi="Cambria Math"/>
              </w:rPr>
            </m:ctrlPr>
          </m:sSubPr>
          <m:e>
            <m:r>
              <m:rPr/>
              <w:rPr>
                <w:rFonts w:ascii="Cambria Math" w:hAnsi="Cambria Math"/>
              </w:rPr>
              <m:t>q</m:t>
            </m:r>
            <m:ctrlPr>
              <w:rPr>
                <w:rFonts w:ascii="Cambria Math" w:hAnsi="Cambria Math"/>
              </w:rPr>
            </m:ctrlPr>
          </m:e>
          <m:sub>
            <m:r>
              <m:rPr/>
              <w:rPr>
                <w:rFonts w:ascii="Cambria Math" w:hAnsi="Cambria Math"/>
              </w:rPr>
              <m:t>3b6</m:t>
            </m:r>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hint="eastAsia" w:ascii="Cambria Math" w:hAnsi="Cambria Math"/>
                  </w:rPr>
                  <m:t>A</m:t>
                </m:r>
                <m:ctrlPr>
                  <w:rPr>
                    <w:rFonts w:ascii="Cambria Math" w:hAnsi="Cambria Math"/>
                  </w:rPr>
                </m:ctrlPr>
              </m:e>
              <m:sub>
                <m:r>
                  <m:rPr/>
                  <w:rPr>
                    <w:rFonts w:ascii="Cambria Math" w:hAnsi="Cambria Math"/>
                  </w:rPr>
                  <m:t>3b6</m:t>
                </m:r>
                <m:ctrlPr>
                  <w:rPr>
                    <w:rFonts w:ascii="Cambria Math" w:hAnsi="Cambria Math"/>
                  </w:rPr>
                </m:ctrlPr>
              </m:sub>
            </m:sSub>
            <m:ctrlPr>
              <w:rPr>
                <w:rFonts w:ascii="Cambria Math" w:hAnsi="Cambria Math"/>
              </w:rPr>
            </m:ctrlPr>
          </m:num>
          <m:den>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L2</m:t>
                </m:r>
                <m:ctrlPr>
                  <w:rPr>
                    <w:rFonts w:ascii="Cambria Math" w:hAnsi="Cambria Math"/>
                    <w:i/>
                  </w:rPr>
                </m:ctrlPr>
              </m:sub>
            </m:sSub>
            <m:ctrlPr>
              <w:rPr>
                <w:rFonts w:ascii="Cambria Math" w:hAnsi="Cambria Math"/>
              </w:rPr>
            </m:ctrlPr>
          </m:den>
        </m:f>
        <m:r>
          <m:rPr/>
          <w:rPr>
            <w:rFonts w:ascii="Cambria Math" w:hAnsi="Cambria Math"/>
          </w:rPr>
          <m:t>×100%</m:t>
        </m:r>
      </m:oMath>
      <w:r>
        <w:rPr>
          <w:rFonts w:ascii="宋体" w:hAnsi="宋体"/>
        </w:rPr>
        <w:tab/>
      </w:r>
      <w:r>
        <w:rPr>
          <w:rFonts w:hint="eastAsia" w:ascii="宋体" w:hAnsi="宋体"/>
        </w:rPr>
        <w:t>（4</w:t>
      </w:r>
      <w:r>
        <w:rPr>
          <w:rFonts w:ascii="宋体" w:hAnsi="宋体"/>
        </w:rPr>
        <w:t>.4.2f</w:t>
      </w:r>
      <w:r>
        <w:rPr>
          <w:rFonts w:hint="eastAsia" w:ascii="宋体" w:hAnsi="宋体"/>
        </w:rPr>
        <w:t>）</w:t>
      </w:r>
    </w:p>
    <w:p>
      <w:pPr>
        <w:pStyle w:val="24"/>
        <w:rPr>
          <w:rFonts w:ascii="宋体" w:hAnsi="宋体"/>
        </w:rPr>
      </w:pPr>
      <w:r>
        <w:rPr>
          <w:rFonts w:hint="eastAsia" w:ascii="宋体" w:hAnsi="宋体"/>
        </w:rPr>
        <w:t>式中：</w:t>
      </w:r>
      <w:r>
        <w:rPr>
          <w:rFonts w:ascii="宋体" w:hAnsi="宋体"/>
        </w:rPr>
        <w:t>q</w:t>
      </w:r>
      <w:r>
        <w:rPr>
          <w:rFonts w:hint="eastAsia" w:ascii="宋体" w:hAnsi="宋体"/>
          <w:vertAlign w:val="subscript"/>
        </w:rPr>
        <w:t>3</w:t>
      </w:r>
      <w:r>
        <w:rPr>
          <w:rFonts w:ascii="宋体" w:hAnsi="宋体"/>
          <w:vertAlign w:val="subscript"/>
        </w:rPr>
        <w:t>b6</w:t>
      </w:r>
      <w:r>
        <w:rPr>
          <w:rFonts w:hint="eastAsia" w:ascii="宋体" w:hAnsi="宋体"/>
        </w:rPr>
        <w:t>——户内区域/功能房间区域装配式楼</w:t>
      </w:r>
      <w:r>
        <w:rPr>
          <w:rFonts w:ascii="宋体" w:hAnsi="宋体"/>
        </w:rPr>
        <w:t>地面</w:t>
      </w:r>
      <w:r>
        <w:rPr>
          <w:rFonts w:hint="eastAsia" w:ascii="宋体" w:hAnsi="宋体"/>
        </w:rPr>
        <w:t>的应用比例；</w:t>
      </w:r>
    </w:p>
    <w:p>
      <w:pPr>
        <w:pStyle w:val="26"/>
        <w:rPr>
          <w:rFonts w:ascii="宋体" w:hAnsi="宋体"/>
        </w:rPr>
      </w:pPr>
      <w:r>
        <w:rPr>
          <w:rFonts w:hint="eastAsia" w:ascii="宋体" w:hAnsi="宋体"/>
        </w:rPr>
        <w:t>A</w:t>
      </w:r>
      <w:r>
        <w:rPr>
          <w:rFonts w:hint="eastAsia" w:ascii="宋体" w:hAnsi="宋体"/>
          <w:vertAlign w:val="subscript"/>
        </w:rPr>
        <w:t>3</w:t>
      </w:r>
      <w:r>
        <w:rPr>
          <w:rFonts w:ascii="宋体" w:hAnsi="宋体"/>
          <w:vertAlign w:val="subscript"/>
        </w:rPr>
        <w:t>b6</w:t>
      </w:r>
      <w:r>
        <w:rPr>
          <w:rFonts w:hint="eastAsia" w:ascii="宋体" w:hAnsi="宋体"/>
        </w:rPr>
        <w:t>——各楼层户内区域/功能房间区域采用装配</w:t>
      </w:r>
      <w:r>
        <w:rPr>
          <w:rFonts w:ascii="宋体" w:hAnsi="宋体"/>
        </w:rPr>
        <w:t>地面</w:t>
      </w:r>
      <w:r>
        <w:rPr>
          <w:rFonts w:hint="eastAsia" w:ascii="宋体" w:hAnsi="宋体"/>
        </w:rPr>
        <w:t>的水平投影面积之和；</w:t>
      </w:r>
    </w:p>
    <w:p>
      <w:pPr>
        <w:pStyle w:val="26"/>
        <w:rPr>
          <w:rFonts w:ascii="宋体" w:hAnsi="宋体"/>
        </w:rPr>
      </w:pPr>
      <w:r>
        <w:rPr>
          <w:rFonts w:hint="eastAsia" w:ascii="宋体" w:hAnsi="宋体"/>
        </w:rPr>
        <w:t>A</w:t>
      </w:r>
      <w:r>
        <w:rPr>
          <w:rFonts w:ascii="宋体" w:hAnsi="宋体"/>
          <w:vertAlign w:val="subscript"/>
        </w:rPr>
        <w:t xml:space="preserve">L2 </w:t>
      </w:r>
      <w:r>
        <w:rPr>
          <w:rFonts w:hint="eastAsia" w:ascii="宋体" w:hAnsi="宋体"/>
        </w:rPr>
        <w:t>——各楼层户内区域/功能房间区域，建筑平面面积扣除墙、柱、洞口的水平投面积；当设备房和阳台的</w:t>
      </w:r>
      <w:r>
        <w:rPr>
          <w:rFonts w:ascii="宋体" w:hAnsi="宋体"/>
        </w:rPr>
        <w:t>楼地面</w:t>
      </w:r>
      <w:r>
        <w:rPr>
          <w:rFonts w:hint="eastAsia" w:ascii="宋体" w:hAnsi="宋体"/>
        </w:rPr>
        <w:t>未采用干式工法时，可不计此部分面积。</w:t>
      </w:r>
    </w:p>
    <w:p>
      <w:pPr>
        <w:pStyle w:val="24"/>
        <w:rPr>
          <w:rFonts w:ascii="宋体" w:hAnsi="宋体"/>
        </w:rPr>
      </w:pPr>
      <w:r>
        <w:rPr>
          <w:rFonts w:hint="eastAsia" w:ascii="宋体" w:hAnsi="宋体"/>
          <w:b/>
        </w:rPr>
        <w:t>4</w:t>
      </w:r>
      <w:r>
        <w:rPr>
          <w:rFonts w:ascii="宋体" w:hAnsi="宋体"/>
          <w:b/>
        </w:rPr>
        <w:t>.4.3</w:t>
      </w:r>
      <w:r>
        <w:rPr>
          <w:rFonts w:ascii="宋体" w:hAnsi="宋体"/>
        </w:rPr>
        <w:tab/>
      </w:r>
      <w:r>
        <w:rPr>
          <w:rFonts w:hint="eastAsia" w:ascii="宋体" w:hAnsi="宋体"/>
        </w:rPr>
        <w:t>集成厨房的橱柜和厨房设备等应全部安装到位，装配式</w:t>
      </w:r>
      <w:r>
        <w:rPr>
          <w:rFonts w:ascii="宋体" w:hAnsi="宋体"/>
        </w:rPr>
        <w:t>吊顶、</w:t>
      </w:r>
      <w:r>
        <w:rPr>
          <w:rFonts w:hint="eastAsia" w:ascii="宋体" w:hAnsi="宋体"/>
        </w:rPr>
        <w:t>装配式</w:t>
      </w:r>
      <w:r>
        <w:rPr>
          <w:rFonts w:ascii="宋体" w:hAnsi="宋体"/>
        </w:rPr>
        <w:t>墙面和装配式</w:t>
      </w:r>
      <w:r>
        <w:rPr>
          <w:rFonts w:hint="eastAsia" w:ascii="宋体" w:hAnsi="宋体"/>
        </w:rPr>
        <w:t>楼</w:t>
      </w:r>
      <w:r>
        <w:rPr>
          <w:rFonts w:ascii="宋体" w:hAnsi="宋体"/>
        </w:rPr>
        <w:t>地面的</w:t>
      </w:r>
      <w:r>
        <w:rPr>
          <w:rFonts w:hint="eastAsia" w:ascii="宋体" w:hAnsi="宋体"/>
        </w:rPr>
        <w:t>应用比例应分别</w:t>
      </w:r>
      <w:r>
        <w:rPr>
          <w:rFonts w:ascii="宋体" w:hAnsi="宋体"/>
        </w:rPr>
        <w:t>计算。</w:t>
      </w:r>
    </w:p>
    <w:p>
      <w:pPr>
        <w:pStyle w:val="24"/>
        <w:ind w:firstLine="560" w:firstLineChars="200"/>
        <w:rPr>
          <w:rFonts w:ascii="宋体" w:hAnsi="宋体"/>
        </w:rPr>
      </w:pPr>
      <w:r>
        <w:rPr>
          <w:rFonts w:hint="eastAsia" w:ascii="宋体" w:hAnsi="宋体"/>
        </w:rPr>
        <w:t>装配式</w:t>
      </w:r>
      <w:r>
        <w:rPr>
          <w:rFonts w:ascii="宋体" w:hAnsi="宋体"/>
        </w:rPr>
        <w:t>吊顶</w:t>
      </w:r>
      <w:r>
        <w:rPr>
          <w:rFonts w:hint="eastAsia" w:ascii="宋体" w:hAnsi="宋体"/>
        </w:rPr>
        <w:t>的应用比例应按下式计算：</w:t>
      </w:r>
    </w:p>
    <w:p>
      <w:pPr>
        <w:pStyle w:val="40"/>
        <w:rPr>
          <w:rFonts w:ascii="宋体" w:hAnsi="宋体"/>
        </w:rPr>
      </w:pPr>
      <w:r>
        <w:rPr>
          <w:rFonts w:ascii="宋体" w:hAnsi="宋体"/>
        </w:rPr>
        <w:tab/>
      </w:r>
      <m:oMath>
        <m:sSub>
          <m:sSubPr>
            <m:ctrlPr>
              <w:rPr>
                <w:rFonts w:ascii="Cambria Math" w:hAnsi="Cambria Math"/>
              </w:rPr>
            </m:ctrlPr>
          </m:sSubPr>
          <m:e>
            <m:r>
              <m:rPr/>
              <w:rPr>
                <w:rFonts w:ascii="Cambria Math" w:hAnsi="Cambria Math"/>
              </w:rPr>
              <m:t>q</m:t>
            </m:r>
            <m:ctrlPr>
              <w:rPr>
                <w:rFonts w:ascii="Cambria Math" w:hAnsi="Cambria Math"/>
              </w:rPr>
            </m:ctrlPr>
          </m:e>
          <m:sub>
            <m:r>
              <m:rPr/>
              <w:rPr>
                <w:rFonts w:ascii="Cambria Math" w:hAnsi="Cambria Math"/>
              </w:rPr>
              <m:t>3c1</m:t>
            </m:r>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hint="eastAsia" w:ascii="Cambria Math" w:hAnsi="Cambria Math"/>
                  </w:rPr>
                  <m:t>A</m:t>
                </m:r>
                <m:ctrlPr>
                  <w:rPr>
                    <w:rFonts w:ascii="Cambria Math" w:hAnsi="Cambria Math"/>
                  </w:rPr>
                </m:ctrlPr>
              </m:e>
              <m:sub>
                <m:r>
                  <m:rPr/>
                  <w:rPr>
                    <w:rFonts w:ascii="Cambria Math" w:hAnsi="Cambria Math"/>
                  </w:rPr>
                  <m:t>3c1</m:t>
                </m:r>
                <m:ctrlPr>
                  <w:rPr>
                    <w:rFonts w:ascii="Cambria Math" w:hAnsi="Cambria Math"/>
                  </w:rPr>
                </m:ctrlPr>
              </m:sub>
            </m:sSub>
            <m:ctrlPr>
              <w:rPr>
                <w:rFonts w:ascii="Cambria Math" w:hAnsi="Cambria Math"/>
              </w:rPr>
            </m:ctrlPr>
          </m:num>
          <m:den>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k1</m:t>
                </m:r>
                <m:ctrlPr>
                  <w:rPr>
                    <w:rFonts w:ascii="Cambria Math" w:hAnsi="Cambria Math"/>
                    <w:i/>
                  </w:rPr>
                </m:ctrlPr>
              </m:sub>
            </m:sSub>
            <m:ctrlPr>
              <w:rPr>
                <w:rFonts w:ascii="Cambria Math" w:hAnsi="Cambria Math"/>
              </w:rPr>
            </m:ctrlPr>
          </m:den>
        </m:f>
        <m:r>
          <m:rPr/>
          <w:rPr>
            <w:rFonts w:ascii="Cambria Math" w:hAnsi="Cambria Math"/>
          </w:rPr>
          <m:t>×100%</m:t>
        </m:r>
      </m:oMath>
      <w:r>
        <w:rPr>
          <w:rFonts w:ascii="宋体" w:hAnsi="宋体"/>
        </w:rPr>
        <w:tab/>
      </w:r>
      <w:r>
        <w:rPr>
          <w:rFonts w:hint="eastAsia" w:ascii="宋体" w:hAnsi="宋体"/>
        </w:rPr>
        <w:t>（4</w:t>
      </w:r>
      <w:r>
        <w:rPr>
          <w:rFonts w:ascii="宋体" w:hAnsi="宋体"/>
        </w:rPr>
        <w:t>.4.3a</w:t>
      </w:r>
      <w:r>
        <w:rPr>
          <w:rFonts w:hint="eastAsia" w:ascii="宋体" w:hAnsi="宋体"/>
        </w:rPr>
        <w:t>）</w:t>
      </w:r>
    </w:p>
    <w:p>
      <w:pPr>
        <w:pStyle w:val="24"/>
        <w:rPr>
          <w:rFonts w:ascii="宋体" w:hAnsi="宋体"/>
        </w:rPr>
      </w:pPr>
      <w:r>
        <w:rPr>
          <w:rFonts w:hint="eastAsia" w:ascii="宋体" w:hAnsi="宋体"/>
        </w:rPr>
        <w:t>式中：q</w:t>
      </w:r>
      <w:r>
        <w:rPr>
          <w:rFonts w:hint="eastAsia" w:ascii="宋体" w:hAnsi="宋体"/>
          <w:vertAlign w:val="subscript"/>
        </w:rPr>
        <w:t>3</w:t>
      </w:r>
      <w:r>
        <w:rPr>
          <w:rFonts w:ascii="宋体" w:hAnsi="宋体"/>
          <w:vertAlign w:val="subscript"/>
        </w:rPr>
        <w:t>c1</w:t>
      </w:r>
      <w:r>
        <w:rPr>
          <w:rFonts w:hint="eastAsia" w:ascii="宋体" w:hAnsi="宋体"/>
        </w:rPr>
        <w:t>——集成厨房中装配式</w:t>
      </w:r>
      <w:r>
        <w:rPr>
          <w:rFonts w:ascii="宋体" w:hAnsi="宋体"/>
        </w:rPr>
        <w:t>吊顶</w:t>
      </w:r>
      <w:r>
        <w:rPr>
          <w:rFonts w:hint="eastAsia" w:ascii="宋体" w:hAnsi="宋体"/>
        </w:rPr>
        <w:t>的应用比例；</w:t>
      </w:r>
    </w:p>
    <w:p>
      <w:pPr>
        <w:pStyle w:val="26"/>
        <w:rPr>
          <w:rFonts w:ascii="宋体" w:hAnsi="宋体"/>
        </w:rPr>
      </w:pPr>
      <w:r>
        <w:rPr>
          <w:rFonts w:hint="eastAsia" w:ascii="宋体" w:hAnsi="宋体"/>
        </w:rPr>
        <w:t>A</w:t>
      </w:r>
      <w:r>
        <w:rPr>
          <w:rFonts w:hint="eastAsia" w:ascii="宋体" w:hAnsi="宋体"/>
          <w:vertAlign w:val="subscript"/>
        </w:rPr>
        <w:t>3</w:t>
      </w:r>
      <w:r>
        <w:rPr>
          <w:rFonts w:ascii="宋体" w:hAnsi="宋体"/>
          <w:vertAlign w:val="subscript"/>
        </w:rPr>
        <w:t>c1</w:t>
      </w:r>
      <w:r>
        <w:rPr>
          <w:rFonts w:hint="eastAsia" w:ascii="宋体" w:hAnsi="宋体"/>
        </w:rPr>
        <w:t>——各楼层厨房采用装配式吊顶的面积之和；</w:t>
      </w:r>
    </w:p>
    <w:p>
      <w:pPr>
        <w:pStyle w:val="26"/>
        <w:rPr>
          <w:rFonts w:ascii="宋体" w:hAnsi="宋体"/>
        </w:rPr>
      </w:pPr>
      <w:r>
        <w:rPr>
          <w:rFonts w:hint="eastAsia" w:ascii="宋体" w:hAnsi="宋体"/>
        </w:rPr>
        <w:t>A</w:t>
      </w:r>
      <w:r>
        <w:rPr>
          <w:rFonts w:ascii="宋体" w:hAnsi="宋体"/>
          <w:vertAlign w:val="subscript"/>
        </w:rPr>
        <w:t xml:space="preserve">k1 </w:t>
      </w:r>
      <w:r>
        <w:rPr>
          <w:rFonts w:hint="eastAsia" w:ascii="宋体" w:hAnsi="宋体"/>
        </w:rPr>
        <w:t>——各楼层厨房顶面的总面积。</w:t>
      </w:r>
    </w:p>
    <w:p>
      <w:pPr>
        <w:pStyle w:val="24"/>
        <w:ind w:firstLine="560" w:firstLineChars="200"/>
        <w:rPr>
          <w:rFonts w:ascii="宋体" w:hAnsi="宋体"/>
        </w:rPr>
      </w:pPr>
      <w:r>
        <w:rPr>
          <w:rFonts w:hint="eastAsia" w:ascii="宋体" w:hAnsi="宋体"/>
        </w:rPr>
        <w:t>装配式墙面的应用比例应按下式计算：</w:t>
      </w:r>
    </w:p>
    <w:p>
      <w:pPr>
        <w:pStyle w:val="40"/>
        <w:rPr>
          <w:rFonts w:ascii="宋体" w:hAnsi="宋体"/>
        </w:rPr>
      </w:pPr>
      <w:r>
        <w:rPr>
          <w:rFonts w:ascii="宋体" w:hAnsi="宋体"/>
        </w:rPr>
        <w:tab/>
      </w:r>
      <m:oMath>
        <m:sSub>
          <m:sSubPr>
            <m:ctrlPr>
              <w:rPr>
                <w:rFonts w:ascii="Cambria Math" w:hAnsi="Cambria Math"/>
              </w:rPr>
            </m:ctrlPr>
          </m:sSubPr>
          <m:e>
            <m:r>
              <m:rPr/>
              <w:rPr>
                <w:rFonts w:ascii="Cambria Math" w:hAnsi="Cambria Math"/>
              </w:rPr>
              <m:t>q</m:t>
            </m:r>
            <m:ctrlPr>
              <w:rPr>
                <w:rFonts w:ascii="Cambria Math" w:hAnsi="Cambria Math"/>
              </w:rPr>
            </m:ctrlPr>
          </m:e>
          <m:sub>
            <m:r>
              <m:rPr/>
              <w:rPr>
                <w:rFonts w:ascii="Cambria Math" w:hAnsi="Cambria Math"/>
              </w:rPr>
              <m:t>3c2</m:t>
            </m:r>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hint="eastAsia" w:ascii="Cambria Math" w:hAnsi="Cambria Math"/>
                  </w:rPr>
                  <m:t>A</m:t>
                </m:r>
                <m:ctrlPr>
                  <w:rPr>
                    <w:rFonts w:ascii="Cambria Math" w:hAnsi="Cambria Math"/>
                  </w:rPr>
                </m:ctrlPr>
              </m:e>
              <m:sub>
                <m:r>
                  <m:rPr/>
                  <w:rPr>
                    <w:rFonts w:ascii="Cambria Math" w:hAnsi="Cambria Math"/>
                  </w:rPr>
                  <m:t>3c2</m:t>
                </m:r>
                <m:ctrlPr>
                  <w:rPr>
                    <w:rFonts w:ascii="Cambria Math" w:hAnsi="Cambria Math"/>
                  </w:rPr>
                </m:ctrlPr>
              </m:sub>
            </m:sSub>
            <m:ctrlPr>
              <w:rPr>
                <w:rFonts w:ascii="Cambria Math" w:hAnsi="Cambria Math"/>
              </w:rPr>
            </m:ctrlPr>
          </m:num>
          <m:den>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k2</m:t>
                </m:r>
                <m:ctrlPr>
                  <w:rPr>
                    <w:rFonts w:ascii="Cambria Math" w:hAnsi="Cambria Math"/>
                    <w:i/>
                  </w:rPr>
                </m:ctrlPr>
              </m:sub>
            </m:sSub>
            <m:ctrlPr>
              <w:rPr>
                <w:rFonts w:ascii="Cambria Math" w:hAnsi="Cambria Math"/>
              </w:rPr>
            </m:ctrlPr>
          </m:den>
        </m:f>
        <m:r>
          <m:rPr/>
          <w:rPr>
            <w:rFonts w:ascii="Cambria Math" w:hAnsi="Cambria Math"/>
          </w:rPr>
          <m:t>×100%</m:t>
        </m:r>
      </m:oMath>
      <w:r>
        <w:rPr>
          <w:rFonts w:ascii="宋体" w:hAnsi="宋体"/>
        </w:rPr>
        <w:tab/>
      </w:r>
      <w:r>
        <w:rPr>
          <w:rFonts w:hint="eastAsia" w:ascii="宋体" w:hAnsi="宋体"/>
        </w:rPr>
        <w:t>（4</w:t>
      </w:r>
      <w:r>
        <w:rPr>
          <w:rFonts w:ascii="宋体" w:hAnsi="宋体"/>
        </w:rPr>
        <w:t>.4.3b</w:t>
      </w:r>
      <w:r>
        <w:rPr>
          <w:rFonts w:hint="eastAsia" w:ascii="宋体" w:hAnsi="宋体"/>
        </w:rPr>
        <w:t>）</w:t>
      </w:r>
    </w:p>
    <w:p>
      <w:pPr>
        <w:pStyle w:val="24"/>
        <w:rPr>
          <w:rFonts w:ascii="宋体" w:hAnsi="宋体"/>
        </w:rPr>
      </w:pPr>
      <w:r>
        <w:rPr>
          <w:rFonts w:hint="eastAsia" w:ascii="宋体" w:hAnsi="宋体"/>
        </w:rPr>
        <w:t>式中：q</w:t>
      </w:r>
      <w:r>
        <w:rPr>
          <w:rFonts w:hint="eastAsia" w:ascii="宋体" w:hAnsi="宋体"/>
          <w:vertAlign w:val="subscript"/>
        </w:rPr>
        <w:t>3</w:t>
      </w:r>
      <w:r>
        <w:rPr>
          <w:rFonts w:ascii="宋体" w:hAnsi="宋体"/>
          <w:vertAlign w:val="subscript"/>
        </w:rPr>
        <w:t>c2</w:t>
      </w:r>
      <w:r>
        <w:rPr>
          <w:rFonts w:hint="eastAsia" w:ascii="宋体" w:hAnsi="宋体"/>
        </w:rPr>
        <w:t>——集成厨房中装配式墙面的应用比例；</w:t>
      </w:r>
    </w:p>
    <w:p>
      <w:pPr>
        <w:pStyle w:val="26"/>
        <w:rPr>
          <w:rFonts w:ascii="宋体" w:hAnsi="宋体"/>
        </w:rPr>
      </w:pPr>
      <w:r>
        <w:rPr>
          <w:rFonts w:hint="eastAsia" w:ascii="宋体" w:hAnsi="宋体"/>
        </w:rPr>
        <w:t>A</w:t>
      </w:r>
      <w:r>
        <w:rPr>
          <w:rFonts w:hint="eastAsia" w:ascii="宋体" w:hAnsi="宋体"/>
          <w:vertAlign w:val="subscript"/>
        </w:rPr>
        <w:t>3</w:t>
      </w:r>
      <w:r>
        <w:rPr>
          <w:rFonts w:ascii="宋体" w:hAnsi="宋体"/>
          <w:vertAlign w:val="subscript"/>
        </w:rPr>
        <w:t>c2</w:t>
      </w:r>
      <w:r>
        <w:rPr>
          <w:rFonts w:hint="eastAsia" w:ascii="宋体" w:hAnsi="宋体"/>
        </w:rPr>
        <w:t>——各楼层厨房采用装配式墙面的面积之和；</w:t>
      </w:r>
    </w:p>
    <w:p>
      <w:pPr>
        <w:pStyle w:val="26"/>
        <w:ind w:left="418" w:leftChars="0" w:firstLine="420" w:firstLineChars="0"/>
        <w:rPr>
          <w:rFonts w:ascii="宋体" w:hAnsi="宋体"/>
        </w:rPr>
      </w:pPr>
      <w:r>
        <w:rPr>
          <w:rFonts w:hint="eastAsia" w:ascii="宋体" w:hAnsi="宋体"/>
        </w:rPr>
        <w:t>A</w:t>
      </w:r>
      <w:r>
        <w:rPr>
          <w:rFonts w:ascii="宋体" w:hAnsi="宋体"/>
          <w:vertAlign w:val="subscript"/>
        </w:rPr>
        <w:t xml:space="preserve">k2 </w:t>
      </w:r>
      <w:r>
        <w:rPr>
          <w:rFonts w:hint="eastAsia" w:ascii="宋体" w:hAnsi="宋体"/>
        </w:rPr>
        <w:t>——各楼层厨房墙面的总面积。</w:t>
      </w:r>
    </w:p>
    <w:p>
      <w:pPr>
        <w:pStyle w:val="24"/>
        <w:ind w:firstLine="560" w:firstLineChars="200"/>
        <w:rPr>
          <w:rFonts w:ascii="宋体" w:hAnsi="宋体"/>
        </w:rPr>
      </w:pPr>
      <w:r>
        <w:rPr>
          <w:rFonts w:hint="eastAsia" w:ascii="宋体" w:hAnsi="宋体"/>
        </w:rPr>
        <w:t>装配式</w:t>
      </w:r>
      <w:r>
        <w:rPr>
          <w:rFonts w:ascii="宋体" w:hAnsi="宋体"/>
        </w:rPr>
        <w:t>楼地面</w:t>
      </w:r>
      <w:r>
        <w:rPr>
          <w:rFonts w:hint="eastAsia" w:ascii="宋体" w:hAnsi="宋体"/>
        </w:rPr>
        <w:t>的应用比例应按下式计算：</w:t>
      </w:r>
    </w:p>
    <w:p>
      <w:pPr>
        <w:pStyle w:val="40"/>
        <w:rPr>
          <w:rFonts w:ascii="宋体" w:hAnsi="宋体"/>
        </w:rPr>
      </w:pPr>
      <w:r>
        <w:rPr>
          <w:rFonts w:ascii="宋体" w:hAnsi="宋体"/>
        </w:rPr>
        <w:tab/>
      </w:r>
      <m:oMath>
        <m:sSub>
          <m:sSubPr>
            <m:ctrlPr>
              <w:rPr>
                <w:rFonts w:ascii="Cambria Math" w:hAnsi="Cambria Math"/>
              </w:rPr>
            </m:ctrlPr>
          </m:sSubPr>
          <m:e>
            <m:r>
              <m:rPr/>
              <w:rPr>
                <w:rFonts w:ascii="Cambria Math" w:hAnsi="Cambria Math"/>
              </w:rPr>
              <m:t>q</m:t>
            </m:r>
            <m:ctrlPr>
              <w:rPr>
                <w:rFonts w:ascii="Cambria Math" w:hAnsi="Cambria Math"/>
              </w:rPr>
            </m:ctrlPr>
          </m:e>
          <m:sub>
            <m:r>
              <m:rPr/>
              <w:rPr>
                <w:rFonts w:ascii="Cambria Math" w:hAnsi="Cambria Math"/>
              </w:rPr>
              <m:t>3c3</m:t>
            </m:r>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hint="eastAsia" w:ascii="Cambria Math" w:hAnsi="Cambria Math"/>
                  </w:rPr>
                  <m:t>A</m:t>
                </m:r>
                <m:ctrlPr>
                  <w:rPr>
                    <w:rFonts w:ascii="Cambria Math" w:hAnsi="Cambria Math"/>
                  </w:rPr>
                </m:ctrlPr>
              </m:e>
              <m:sub>
                <m:r>
                  <m:rPr/>
                  <w:rPr>
                    <w:rFonts w:ascii="Cambria Math" w:hAnsi="Cambria Math"/>
                  </w:rPr>
                  <m:t>3c3</m:t>
                </m:r>
                <m:ctrlPr>
                  <w:rPr>
                    <w:rFonts w:ascii="Cambria Math" w:hAnsi="Cambria Math"/>
                  </w:rPr>
                </m:ctrlPr>
              </m:sub>
            </m:sSub>
            <m:ctrlPr>
              <w:rPr>
                <w:rFonts w:ascii="Cambria Math" w:hAnsi="Cambria Math"/>
              </w:rPr>
            </m:ctrlPr>
          </m:num>
          <m:den>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k3</m:t>
                </m:r>
                <m:ctrlPr>
                  <w:rPr>
                    <w:rFonts w:ascii="Cambria Math" w:hAnsi="Cambria Math"/>
                    <w:i/>
                  </w:rPr>
                </m:ctrlPr>
              </m:sub>
            </m:sSub>
            <m:ctrlPr>
              <w:rPr>
                <w:rFonts w:ascii="Cambria Math" w:hAnsi="Cambria Math"/>
              </w:rPr>
            </m:ctrlPr>
          </m:den>
        </m:f>
        <m:r>
          <m:rPr/>
          <w:rPr>
            <w:rFonts w:ascii="Cambria Math" w:hAnsi="Cambria Math"/>
          </w:rPr>
          <m:t>×100%</m:t>
        </m:r>
      </m:oMath>
      <w:r>
        <w:rPr>
          <w:rFonts w:ascii="宋体" w:hAnsi="宋体"/>
        </w:rPr>
        <w:tab/>
      </w:r>
      <w:r>
        <w:rPr>
          <w:rFonts w:hint="eastAsia" w:ascii="宋体" w:hAnsi="宋体"/>
        </w:rPr>
        <w:t>（4</w:t>
      </w:r>
      <w:r>
        <w:rPr>
          <w:rFonts w:ascii="宋体" w:hAnsi="宋体"/>
        </w:rPr>
        <w:t>.4.3c</w:t>
      </w:r>
      <w:r>
        <w:rPr>
          <w:rFonts w:hint="eastAsia" w:ascii="宋体" w:hAnsi="宋体"/>
        </w:rPr>
        <w:t>）</w:t>
      </w:r>
    </w:p>
    <w:p>
      <w:pPr>
        <w:pStyle w:val="24"/>
        <w:rPr>
          <w:rFonts w:ascii="宋体" w:hAnsi="宋体"/>
        </w:rPr>
      </w:pPr>
      <w:r>
        <w:rPr>
          <w:rFonts w:hint="eastAsia" w:ascii="宋体" w:hAnsi="宋体"/>
        </w:rPr>
        <w:t>式中：q</w:t>
      </w:r>
      <w:r>
        <w:rPr>
          <w:rFonts w:hint="eastAsia" w:ascii="宋体" w:hAnsi="宋体"/>
          <w:vertAlign w:val="subscript"/>
        </w:rPr>
        <w:t>3</w:t>
      </w:r>
      <w:r>
        <w:rPr>
          <w:rFonts w:ascii="宋体" w:hAnsi="宋体"/>
          <w:vertAlign w:val="subscript"/>
        </w:rPr>
        <w:t>c3</w:t>
      </w:r>
      <w:r>
        <w:rPr>
          <w:rFonts w:hint="eastAsia" w:ascii="宋体" w:hAnsi="宋体"/>
        </w:rPr>
        <w:t>——集成厨房中装配式楼</w:t>
      </w:r>
      <w:r>
        <w:rPr>
          <w:rFonts w:ascii="宋体" w:hAnsi="宋体"/>
        </w:rPr>
        <w:t>地面</w:t>
      </w:r>
      <w:r>
        <w:rPr>
          <w:rFonts w:hint="eastAsia" w:ascii="宋体" w:hAnsi="宋体"/>
        </w:rPr>
        <w:t>的应用比例；</w:t>
      </w:r>
    </w:p>
    <w:p>
      <w:pPr>
        <w:pStyle w:val="26"/>
        <w:rPr>
          <w:rFonts w:ascii="宋体" w:hAnsi="宋体"/>
        </w:rPr>
      </w:pPr>
      <w:r>
        <w:rPr>
          <w:rFonts w:hint="eastAsia" w:ascii="宋体" w:hAnsi="宋体"/>
        </w:rPr>
        <w:t>A</w:t>
      </w:r>
      <w:r>
        <w:rPr>
          <w:rFonts w:hint="eastAsia" w:ascii="宋体" w:hAnsi="宋体"/>
          <w:vertAlign w:val="subscript"/>
        </w:rPr>
        <w:t>3</w:t>
      </w:r>
      <w:r>
        <w:rPr>
          <w:rFonts w:ascii="宋体" w:hAnsi="宋体"/>
          <w:vertAlign w:val="subscript"/>
        </w:rPr>
        <w:t>c3</w:t>
      </w:r>
      <w:r>
        <w:rPr>
          <w:rFonts w:hint="eastAsia" w:ascii="宋体" w:hAnsi="宋体"/>
        </w:rPr>
        <w:t>——各楼层厨房采用装配式楼</w:t>
      </w:r>
      <w:r>
        <w:rPr>
          <w:rFonts w:ascii="宋体" w:hAnsi="宋体"/>
        </w:rPr>
        <w:t>地面</w:t>
      </w:r>
      <w:r>
        <w:rPr>
          <w:rFonts w:hint="eastAsia" w:ascii="宋体" w:hAnsi="宋体"/>
        </w:rPr>
        <w:t>的面积之和；</w:t>
      </w:r>
    </w:p>
    <w:p>
      <w:pPr>
        <w:pStyle w:val="26"/>
        <w:ind w:left="418" w:leftChars="0" w:firstLine="420" w:firstLineChars="0"/>
        <w:rPr>
          <w:rFonts w:ascii="宋体" w:hAnsi="宋体"/>
        </w:rPr>
      </w:pPr>
      <w:r>
        <w:rPr>
          <w:rFonts w:hint="eastAsia" w:ascii="宋体" w:hAnsi="宋体"/>
        </w:rPr>
        <w:t>A</w:t>
      </w:r>
      <w:r>
        <w:rPr>
          <w:rFonts w:ascii="宋体" w:hAnsi="宋体"/>
          <w:vertAlign w:val="subscript"/>
        </w:rPr>
        <w:t xml:space="preserve">k3 </w:t>
      </w:r>
      <w:r>
        <w:rPr>
          <w:rFonts w:hint="eastAsia" w:ascii="宋体" w:hAnsi="宋体"/>
        </w:rPr>
        <w:t>——各楼层厨房楼地面的总面积。</w:t>
      </w:r>
    </w:p>
    <w:p>
      <w:pPr>
        <w:pStyle w:val="24"/>
        <w:rPr>
          <w:rFonts w:ascii="宋体" w:hAnsi="宋体"/>
        </w:rPr>
      </w:pPr>
      <w:r>
        <w:rPr>
          <w:rFonts w:hint="eastAsia" w:ascii="宋体" w:hAnsi="宋体"/>
          <w:b/>
        </w:rPr>
        <w:t>4</w:t>
      </w:r>
      <w:r>
        <w:rPr>
          <w:rFonts w:ascii="宋体" w:hAnsi="宋体"/>
          <w:b/>
        </w:rPr>
        <w:t>.4.4</w:t>
      </w:r>
      <w:r>
        <w:rPr>
          <w:rFonts w:ascii="宋体" w:hAnsi="宋体"/>
        </w:rPr>
        <w:tab/>
      </w:r>
      <w:r>
        <w:rPr>
          <w:rFonts w:hint="eastAsia" w:ascii="宋体" w:hAnsi="宋体"/>
        </w:rPr>
        <w:t>集成卫生间的洁具设备等应全部安装到位，装配式</w:t>
      </w:r>
      <w:r>
        <w:rPr>
          <w:rFonts w:ascii="宋体" w:hAnsi="宋体"/>
        </w:rPr>
        <w:t>吊顶、</w:t>
      </w:r>
      <w:r>
        <w:rPr>
          <w:rFonts w:hint="eastAsia" w:ascii="宋体" w:hAnsi="宋体"/>
        </w:rPr>
        <w:t>装配式</w:t>
      </w:r>
      <w:r>
        <w:rPr>
          <w:rFonts w:ascii="宋体" w:hAnsi="宋体"/>
        </w:rPr>
        <w:t>墙面和装配式</w:t>
      </w:r>
      <w:r>
        <w:rPr>
          <w:rFonts w:hint="eastAsia" w:ascii="宋体" w:hAnsi="宋体"/>
        </w:rPr>
        <w:t>楼</w:t>
      </w:r>
      <w:r>
        <w:rPr>
          <w:rFonts w:ascii="宋体" w:hAnsi="宋体"/>
        </w:rPr>
        <w:t>地面的</w:t>
      </w:r>
      <w:r>
        <w:rPr>
          <w:rFonts w:hint="eastAsia" w:ascii="宋体" w:hAnsi="宋体"/>
        </w:rPr>
        <w:t>应用比例应分别</w:t>
      </w:r>
      <w:r>
        <w:rPr>
          <w:rFonts w:ascii="宋体" w:hAnsi="宋体"/>
        </w:rPr>
        <w:t>计算。</w:t>
      </w:r>
    </w:p>
    <w:p>
      <w:pPr>
        <w:pStyle w:val="24"/>
        <w:ind w:firstLine="560" w:firstLineChars="200"/>
        <w:rPr>
          <w:rFonts w:ascii="宋体" w:hAnsi="宋体"/>
        </w:rPr>
      </w:pPr>
      <w:r>
        <w:rPr>
          <w:rFonts w:hint="eastAsia" w:ascii="宋体" w:hAnsi="宋体"/>
        </w:rPr>
        <w:t>装配式</w:t>
      </w:r>
      <w:r>
        <w:rPr>
          <w:rFonts w:ascii="宋体" w:hAnsi="宋体"/>
        </w:rPr>
        <w:t>吊顶</w:t>
      </w:r>
      <w:r>
        <w:rPr>
          <w:rFonts w:hint="eastAsia" w:ascii="宋体" w:hAnsi="宋体"/>
        </w:rPr>
        <w:t>的应用比例应按下式计算：</w:t>
      </w:r>
    </w:p>
    <w:p>
      <w:pPr>
        <w:pStyle w:val="40"/>
        <w:rPr>
          <w:rFonts w:ascii="宋体" w:hAnsi="宋体"/>
        </w:rPr>
      </w:pPr>
      <w:r>
        <w:rPr>
          <w:rFonts w:ascii="宋体" w:hAnsi="宋体"/>
        </w:rPr>
        <w:tab/>
      </w:r>
      <m:oMath>
        <m:sSub>
          <m:sSubPr>
            <m:ctrlPr>
              <w:rPr>
                <w:rFonts w:ascii="Cambria Math" w:hAnsi="Cambria Math"/>
              </w:rPr>
            </m:ctrlPr>
          </m:sSubPr>
          <m:e>
            <m:r>
              <m:rPr/>
              <w:rPr>
                <w:rFonts w:ascii="Cambria Math" w:hAnsi="Cambria Math"/>
              </w:rPr>
              <m:t>q</m:t>
            </m:r>
            <m:ctrlPr>
              <w:rPr>
                <w:rFonts w:ascii="Cambria Math" w:hAnsi="Cambria Math"/>
              </w:rPr>
            </m:ctrlPr>
          </m:e>
          <m:sub>
            <m:r>
              <m:rPr/>
              <w:rPr>
                <w:rFonts w:ascii="Cambria Math" w:hAnsi="Cambria Math"/>
              </w:rPr>
              <m:t>3d1</m:t>
            </m:r>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hint="eastAsia" w:ascii="Cambria Math" w:hAnsi="Cambria Math"/>
                  </w:rPr>
                  <m:t>A</m:t>
                </m:r>
                <m:ctrlPr>
                  <w:rPr>
                    <w:rFonts w:ascii="Cambria Math" w:hAnsi="Cambria Math"/>
                  </w:rPr>
                </m:ctrlPr>
              </m:e>
              <m:sub>
                <m:r>
                  <m:rPr/>
                  <w:rPr>
                    <w:rFonts w:ascii="Cambria Math" w:hAnsi="Cambria Math"/>
                  </w:rPr>
                  <m:t>3d1</m:t>
                </m:r>
                <m:ctrlPr>
                  <w:rPr>
                    <w:rFonts w:ascii="Cambria Math" w:hAnsi="Cambria Math"/>
                  </w:rPr>
                </m:ctrlPr>
              </m:sub>
            </m:sSub>
            <m:ctrlPr>
              <w:rPr>
                <w:rFonts w:ascii="Cambria Math" w:hAnsi="Cambria Math"/>
              </w:rPr>
            </m:ctrlPr>
          </m:num>
          <m:den>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b1</m:t>
                </m:r>
                <m:ctrlPr>
                  <w:rPr>
                    <w:rFonts w:ascii="Cambria Math" w:hAnsi="Cambria Math"/>
                    <w:i/>
                  </w:rPr>
                </m:ctrlPr>
              </m:sub>
            </m:sSub>
            <m:ctrlPr>
              <w:rPr>
                <w:rFonts w:ascii="Cambria Math" w:hAnsi="Cambria Math"/>
              </w:rPr>
            </m:ctrlPr>
          </m:den>
        </m:f>
        <m:r>
          <m:rPr/>
          <w:rPr>
            <w:rFonts w:ascii="Cambria Math" w:hAnsi="Cambria Math"/>
          </w:rPr>
          <m:t>×100%</m:t>
        </m:r>
      </m:oMath>
      <w:r>
        <w:rPr>
          <w:rFonts w:ascii="宋体" w:hAnsi="宋体"/>
        </w:rPr>
        <w:tab/>
      </w:r>
      <w:r>
        <w:rPr>
          <w:rFonts w:hint="eastAsia" w:ascii="宋体" w:hAnsi="宋体"/>
        </w:rPr>
        <w:t>（4</w:t>
      </w:r>
      <w:r>
        <w:rPr>
          <w:rFonts w:ascii="宋体" w:hAnsi="宋体"/>
        </w:rPr>
        <w:t>.4.4a</w:t>
      </w:r>
      <w:r>
        <w:rPr>
          <w:rFonts w:hint="eastAsia" w:ascii="宋体" w:hAnsi="宋体"/>
        </w:rPr>
        <w:t>）</w:t>
      </w:r>
    </w:p>
    <w:p>
      <w:pPr>
        <w:pStyle w:val="24"/>
        <w:rPr>
          <w:rFonts w:ascii="宋体" w:hAnsi="宋体"/>
        </w:rPr>
      </w:pPr>
      <w:r>
        <w:rPr>
          <w:rFonts w:hint="eastAsia" w:ascii="宋体" w:hAnsi="宋体"/>
        </w:rPr>
        <w:t>式中：q</w:t>
      </w:r>
      <w:r>
        <w:rPr>
          <w:rFonts w:hint="eastAsia" w:ascii="宋体" w:hAnsi="宋体"/>
          <w:vertAlign w:val="subscript"/>
        </w:rPr>
        <w:t>3</w:t>
      </w:r>
      <w:r>
        <w:rPr>
          <w:rFonts w:ascii="宋体" w:hAnsi="宋体"/>
          <w:vertAlign w:val="subscript"/>
        </w:rPr>
        <w:t>d1</w:t>
      </w:r>
      <w:r>
        <w:rPr>
          <w:rFonts w:hint="eastAsia" w:ascii="宋体" w:hAnsi="宋体"/>
        </w:rPr>
        <w:t>——集成卫生间中装配式</w:t>
      </w:r>
      <w:r>
        <w:rPr>
          <w:rFonts w:ascii="宋体" w:hAnsi="宋体"/>
        </w:rPr>
        <w:t>吊顶</w:t>
      </w:r>
      <w:r>
        <w:rPr>
          <w:rFonts w:hint="eastAsia" w:ascii="宋体" w:hAnsi="宋体"/>
        </w:rPr>
        <w:t>的应用比例；</w:t>
      </w:r>
    </w:p>
    <w:p>
      <w:pPr>
        <w:pStyle w:val="26"/>
        <w:rPr>
          <w:rFonts w:ascii="宋体" w:hAnsi="宋体"/>
        </w:rPr>
      </w:pPr>
      <w:r>
        <w:rPr>
          <w:rFonts w:hint="eastAsia" w:ascii="宋体" w:hAnsi="宋体"/>
        </w:rPr>
        <w:t>A</w:t>
      </w:r>
      <w:r>
        <w:rPr>
          <w:rFonts w:hint="eastAsia" w:ascii="宋体" w:hAnsi="宋体"/>
          <w:vertAlign w:val="subscript"/>
        </w:rPr>
        <w:t>3</w:t>
      </w:r>
      <w:r>
        <w:rPr>
          <w:rFonts w:ascii="宋体" w:hAnsi="宋体"/>
          <w:vertAlign w:val="subscript"/>
        </w:rPr>
        <w:t>d1</w:t>
      </w:r>
      <w:r>
        <w:rPr>
          <w:rFonts w:hint="eastAsia" w:ascii="宋体" w:hAnsi="宋体"/>
        </w:rPr>
        <w:t>——各楼层卫生间采用装配式吊顶的面积之和；</w:t>
      </w:r>
    </w:p>
    <w:p>
      <w:pPr>
        <w:pStyle w:val="24"/>
        <w:ind w:left="418" w:firstLine="420"/>
        <w:rPr>
          <w:rFonts w:ascii="宋体" w:hAnsi="宋体"/>
        </w:rPr>
      </w:pPr>
      <w:r>
        <w:rPr>
          <w:rFonts w:hint="eastAsia" w:ascii="宋体" w:hAnsi="宋体"/>
        </w:rPr>
        <w:t>A</w:t>
      </w:r>
      <w:r>
        <w:rPr>
          <w:rFonts w:ascii="宋体" w:hAnsi="宋体"/>
          <w:vertAlign w:val="subscript"/>
        </w:rPr>
        <w:t xml:space="preserve">b1 </w:t>
      </w:r>
      <w:r>
        <w:rPr>
          <w:rFonts w:hint="eastAsia" w:ascii="宋体" w:hAnsi="宋体"/>
        </w:rPr>
        <w:t>——各楼层卫生间顶面的总面积。</w:t>
      </w:r>
    </w:p>
    <w:p>
      <w:pPr>
        <w:pStyle w:val="24"/>
        <w:ind w:firstLine="560" w:firstLineChars="200"/>
        <w:rPr>
          <w:rFonts w:ascii="宋体" w:hAnsi="宋体"/>
        </w:rPr>
      </w:pPr>
      <w:r>
        <w:rPr>
          <w:rFonts w:hint="eastAsia" w:ascii="宋体" w:hAnsi="宋体"/>
        </w:rPr>
        <w:t>装配式墙面的应用比例应按下式计算：</w:t>
      </w:r>
    </w:p>
    <w:p>
      <w:pPr>
        <w:pStyle w:val="40"/>
        <w:rPr>
          <w:rFonts w:ascii="宋体" w:hAnsi="宋体"/>
        </w:rPr>
      </w:pPr>
      <w:r>
        <w:rPr>
          <w:rFonts w:ascii="宋体" w:hAnsi="宋体"/>
        </w:rPr>
        <w:tab/>
      </w:r>
      <m:oMath>
        <m:sSub>
          <m:sSubPr>
            <m:ctrlPr>
              <w:rPr>
                <w:rFonts w:ascii="Cambria Math" w:hAnsi="Cambria Math"/>
              </w:rPr>
            </m:ctrlPr>
          </m:sSubPr>
          <m:e>
            <m:r>
              <m:rPr/>
              <w:rPr>
                <w:rFonts w:ascii="Cambria Math" w:hAnsi="Cambria Math"/>
              </w:rPr>
              <m:t>q</m:t>
            </m:r>
            <m:ctrlPr>
              <w:rPr>
                <w:rFonts w:ascii="Cambria Math" w:hAnsi="Cambria Math"/>
              </w:rPr>
            </m:ctrlPr>
          </m:e>
          <m:sub>
            <m:r>
              <m:rPr/>
              <w:rPr>
                <w:rFonts w:ascii="Cambria Math" w:hAnsi="Cambria Math"/>
              </w:rPr>
              <m:t>3d2</m:t>
            </m:r>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hint="eastAsia" w:ascii="Cambria Math" w:hAnsi="Cambria Math"/>
                  </w:rPr>
                  <m:t>A</m:t>
                </m:r>
                <m:ctrlPr>
                  <w:rPr>
                    <w:rFonts w:ascii="Cambria Math" w:hAnsi="Cambria Math"/>
                  </w:rPr>
                </m:ctrlPr>
              </m:e>
              <m:sub>
                <m:r>
                  <m:rPr/>
                  <w:rPr>
                    <w:rFonts w:ascii="Cambria Math" w:hAnsi="Cambria Math"/>
                  </w:rPr>
                  <m:t>3d2</m:t>
                </m:r>
                <m:ctrlPr>
                  <w:rPr>
                    <w:rFonts w:ascii="Cambria Math" w:hAnsi="Cambria Math"/>
                  </w:rPr>
                </m:ctrlPr>
              </m:sub>
            </m:sSub>
            <m:ctrlPr>
              <w:rPr>
                <w:rFonts w:ascii="Cambria Math" w:hAnsi="Cambria Math"/>
              </w:rPr>
            </m:ctrlPr>
          </m:num>
          <m:den>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b2</m:t>
                </m:r>
                <m:ctrlPr>
                  <w:rPr>
                    <w:rFonts w:ascii="Cambria Math" w:hAnsi="Cambria Math"/>
                    <w:i/>
                  </w:rPr>
                </m:ctrlPr>
              </m:sub>
            </m:sSub>
            <m:ctrlPr>
              <w:rPr>
                <w:rFonts w:ascii="Cambria Math" w:hAnsi="Cambria Math"/>
              </w:rPr>
            </m:ctrlPr>
          </m:den>
        </m:f>
        <m:r>
          <m:rPr/>
          <w:rPr>
            <w:rFonts w:ascii="Cambria Math" w:hAnsi="Cambria Math"/>
          </w:rPr>
          <m:t>×100%</m:t>
        </m:r>
      </m:oMath>
      <w:r>
        <w:rPr>
          <w:rFonts w:ascii="宋体" w:hAnsi="宋体"/>
        </w:rPr>
        <w:tab/>
      </w:r>
      <w:r>
        <w:rPr>
          <w:rFonts w:hint="eastAsia" w:ascii="宋体" w:hAnsi="宋体"/>
        </w:rPr>
        <w:t>（4</w:t>
      </w:r>
      <w:r>
        <w:rPr>
          <w:rFonts w:ascii="宋体" w:hAnsi="宋体"/>
        </w:rPr>
        <w:t>.4.4b</w:t>
      </w:r>
      <w:r>
        <w:rPr>
          <w:rFonts w:hint="eastAsia" w:ascii="宋体" w:hAnsi="宋体"/>
        </w:rPr>
        <w:t>）</w:t>
      </w:r>
    </w:p>
    <w:p>
      <w:pPr>
        <w:pStyle w:val="24"/>
        <w:rPr>
          <w:rFonts w:ascii="宋体" w:hAnsi="宋体"/>
        </w:rPr>
      </w:pPr>
      <w:r>
        <w:rPr>
          <w:rFonts w:hint="eastAsia" w:ascii="宋体" w:hAnsi="宋体"/>
        </w:rPr>
        <w:t>式中：q</w:t>
      </w:r>
      <w:r>
        <w:rPr>
          <w:rFonts w:hint="eastAsia" w:ascii="宋体" w:hAnsi="宋体"/>
          <w:vertAlign w:val="subscript"/>
        </w:rPr>
        <w:t>3</w:t>
      </w:r>
      <w:r>
        <w:rPr>
          <w:rFonts w:ascii="宋体" w:hAnsi="宋体"/>
          <w:vertAlign w:val="subscript"/>
        </w:rPr>
        <w:t>d2</w:t>
      </w:r>
      <w:r>
        <w:rPr>
          <w:rFonts w:hint="eastAsia" w:ascii="宋体" w:hAnsi="宋体"/>
        </w:rPr>
        <w:t>——集成卫生间中装配式墙面的应用比例；</w:t>
      </w:r>
    </w:p>
    <w:p>
      <w:pPr>
        <w:pStyle w:val="26"/>
        <w:rPr>
          <w:rFonts w:ascii="宋体" w:hAnsi="宋体"/>
        </w:rPr>
      </w:pPr>
      <w:r>
        <w:rPr>
          <w:rFonts w:hint="eastAsia" w:ascii="宋体" w:hAnsi="宋体"/>
        </w:rPr>
        <w:t>A</w:t>
      </w:r>
      <w:r>
        <w:rPr>
          <w:rFonts w:hint="eastAsia" w:ascii="宋体" w:hAnsi="宋体"/>
          <w:vertAlign w:val="subscript"/>
        </w:rPr>
        <w:t>3</w:t>
      </w:r>
      <w:r>
        <w:rPr>
          <w:rFonts w:ascii="宋体" w:hAnsi="宋体"/>
          <w:vertAlign w:val="subscript"/>
        </w:rPr>
        <w:t>d2</w:t>
      </w:r>
      <w:r>
        <w:rPr>
          <w:rFonts w:hint="eastAsia" w:ascii="宋体" w:hAnsi="宋体"/>
        </w:rPr>
        <w:t>——各楼层卫生间采用装配式墙面的面积之和；</w:t>
      </w:r>
    </w:p>
    <w:p>
      <w:pPr>
        <w:pStyle w:val="26"/>
        <w:ind w:left="418" w:leftChars="0" w:firstLine="420" w:firstLineChars="0"/>
        <w:rPr>
          <w:rFonts w:ascii="宋体" w:hAnsi="宋体"/>
        </w:rPr>
      </w:pPr>
      <w:r>
        <w:rPr>
          <w:rFonts w:hint="eastAsia" w:ascii="宋体" w:hAnsi="宋体"/>
        </w:rPr>
        <w:t>A</w:t>
      </w:r>
      <w:r>
        <w:rPr>
          <w:rFonts w:ascii="宋体" w:hAnsi="宋体"/>
          <w:vertAlign w:val="subscript"/>
        </w:rPr>
        <w:t xml:space="preserve">b2 </w:t>
      </w:r>
      <w:r>
        <w:rPr>
          <w:rFonts w:hint="eastAsia" w:ascii="宋体" w:hAnsi="宋体"/>
        </w:rPr>
        <w:t>——各楼层卫生间墙面的总面积。</w:t>
      </w:r>
    </w:p>
    <w:p>
      <w:pPr>
        <w:pStyle w:val="24"/>
        <w:ind w:firstLine="560" w:firstLineChars="200"/>
        <w:rPr>
          <w:rFonts w:ascii="宋体" w:hAnsi="宋体"/>
        </w:rPr>
      </w:pPr>
      <w:r>
        <w:rPr>
          <w:rFonts w:hint="eastAsia" w:ascii="宋体" w:hAnsi="宋体"/>
        </w:rPr>
        <w:t>装配式楼</w:t>
      </w:r>
      <w:r>
        <w:rPr>
          <w:rFonts w:ascii="宋体" w:hAnsi="宋体"/>
        </w:rPr>
        <w:t>地面</w:t>
      </w:r>
      <w:r>
        <w:rPr>
          <w:rFonts w:hint="eastAsia" w:ascii="宋体" w:hAnsi="宋体"/>
        </w:rPr>
        <w:t>的应用比例应按下式计算：</w:t>
      </w:r>
    </w:p>
    <w:p>
      <w:pPr>
        <w:pStyle w:val="40"/>
        <w:rPr>
          <w:rFonts w:ascii="宋体" w:hAnsi="宋体"/>
        </w:rPr>
      </w:pPr>
      <w:r>
        <w:rPr>
          <w:rFonts w:ascii="宋体" w:hAnsi="宋体"/>
        </w:rPr>
        <w:tab/>
      </w:r>
      <m:oMath>
        <m:sSub>
          <m:sSubPr>
            <m:ctrlPr>
              <w:rPr>
                <w:rFonts w:ascii="Cambria Math" w:hAnsi="Cambria Math"/>
              </w:rPr>
            </m:ctrlPr>
          </m:sSubPr>
          <m:e>
            <m:r>
              <m:rPr/>
              <w:rPr>
                <w:rFonts w:ascii="Cambria Math" w:hAnsi="Cambria Math"/>
              </w:rPr>
              <m:t>q</m:t>
            </m:r>
            <m:ctrlPr>
              <w:rPr>
                <w:rFonts w:ascii="Cambria Math" w:hAnsi="Cambria Math"/>
              </w:rPr>
            </m:ctrlPr>
          </m:e>
          <m:sub>
            <m:r>
              <m:rPr/>
              <w:rPr>
                <w:rFonts w:ascii="Cambria Math" w:hAnsi="Cambria Math"/>
              </w:rPr>
              <m:t>3d3</m:t>
            </m:r>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hint="eastAsia" w:ascii="Cambria Math" w:hAnsi="Cambria Math"/>
                  </w:rPr>
                  <m:t>A</m:t>
                </m:r>
                <m:ctrlPr>
                  <w:rPr>
                    <w:rFonts w:ascii="Cambria Math" w:hAnsi="Cambria Math"/>
                  </w:rPr>
                </m:ctrlPr>
              </m:e>
              <m:sub>
                <m:r>
                  <m:rPr/>
                  <w:rPr>
                    <w:rFonts w:ascii="Cambria Math" w:hAnsi="Cambria Math"/>
                  </w:rPr>
                  <m:t>3d3</m:t>
                </m:r>
                <m:ctrlPr>
                  <w:rPr>
                    <w:rFonts w:ascii="Cambria Math" w:hAnsi="Cambria Math"/>
                  </w:rPr>
                </m:ctrlPr>
              </m:sub>
            </m:sSub>
            <m:ctrlPr>
              <w:rPr>
                <w:rFonts w:ascii="Cambria Math" w:hAnsi="Cambria Math"/>
              </w:rPr>
            </m:ctrlPr>
          </m:num>
          <m:den>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b3</m:t>
                </m:r>
                <m:ctrlPr>
                  <w:rPr>
                    <w:rFonts w:ascii="Cambria Math" w:hAnsi="Cambria Math"/>
                    <w:i/>
                  </w:rPr>
                </m:ctrlPr>
              </m:sub>
            </m:sSub>
            <m:ctrlPr>
              <w:rPr>
                <w:rFonts w:ascii="Cambria Math" w:hAnsi="Cambria Math"/>
              </w:rPr>
            </m:ctrlPr>
          </m:den>
        </m:f>
        <m:r>
          <m:rPr/>
          <w:rPr>
            <w:rFonts w:ascii="Cambria Math" w:hAnsi="Cambria Math"/>
          </w:rPr>
          <m:t>×100%</m:t>
        </m:r>
      </m:oMath>
      <w:r>
        <w:rPr>
          <w:rFonts w:ascii="宋体" w:hAnsi="宋体"/>
        </w:rPr>
        <w:tab/>
      </w:r>
      <w:r>
        <w:rPr>
          <w:rFonts w:hint="eastAsia" w:ascii="宋体" w:hAnsi="宋体"/>
        </w:rPr>
        <w:t>（4</w:t>
      </w:r>
      <w:r>
        <w:rPr>
          <w:rFonts w:ascii="宋体" w:hAnsi="宋体"/>
        </w:rPr>
        <w:t>.4.4c</w:t>
      </w:r>
      <w:r>
        <w:rPr>
          <w:rFonts w:hint="eastAsia" w:ascii="宋体" w:hAnsi="宋体"/>
        </w:rPr>
        <w:t>）</w:t>
      </w:r>
    </w:p>
    <w:p>
      <w:pPr>
        <w:pStyle w:val="24"/>
        <w:rPr>
          <w:rFonts w:ascii="宋体" w:hAnsi="宋体"/>
        </w:rPr>
      </w:pPr>
      <w:r>
        <w:rPr>
          <w:rFonts w:hint="eastAsia" w:ascii="宋体" w:hAnsi="宋体"/>
        </w:rPr>
        <w:t>式中：q</w:t>
      </w:r>
      <w:r>
        <w:rPr>
          <w:rFonts w:hint="eastAsia" w:ascii="宋体" w:hAnsi="宋体"/>
          <w:vertAlign w:val="subscript"/>
        </w:rPr>
        <w:t>3</w:t>
      </w:r>
      <w:r>
        <w:rPr>
          <w:rFonts w:ascii="宋体" w:hAnsi="宋体"/>
          <w:vertAlign w:val="subscript"/>
        </w:rPr>
        <w:t>d3</w:t>
      </w:r>
      <w:r>
        <w:rPr>
          <w:rFonts w:hint="eastAsia" w:ascii="宋体" w:hAnsi="宋体"/>
        </w:rPr>
        <w:t>——集成卫生间中装配式楼</w:t>
      </w:r>
      <w:r>
        <w:rPr>
          <w:rFonts w:ascii="宋体" w:hAnsi="宋体"/>
        </w:rPr>
        <w:t>地面</w:t>
      </w:r>
      <w:r>
        <w:rPr>
          <w:rFonts w:hint="eastAsia" w:ascii="宋体" w:hAnsi="宋体"/>
        </w:rPr>
        <w:t>的应用比例；</w:t>
      </w:r>
    </w:p>
    <w:p>
      <w:pPr>
        <w:pStyle w:val="26"/>
        <w:rPr>
          <w:rFonts w:ascii="宋体" w:hAnsi="宋体"/>
        </w:rPr>
      </w:pPr>
      <w:r>
        <w:rPr>
          <w:rFonts w:hint="eastAsia" w:ascii="宋体" w:hAnsi="宋体"/>
        </w:rPr>
        <w:t>A</w:t>
      </w:r>
      <w:r>
        <w:rPr>
          <w:rFonts w:hint="eastAsia" w:ascii="宋体" w:hAnsi="宋体"/>
          <w:vertAlign w:val="subscript"/>
        </w:rPr>
        <w:t>3</w:t>
      </w:r>
      <w:r>
        <w:rPr>
          <w:rFonts w:ascii="宋体" w:hAnsi="宋体"/>
          <w:vertAlign w:val="subscript"/>
        </w:rPr>
        <w:t>d3</w:t>
      </w:r>
      <w:r>
        <w:rPr>
          <w:rFonts w:hint="eastAsia" w:ascii="宋体" w:hAnsi="宋体"/>
        </w:rPr>
        <w:t>——各楼层卫生间采用装配式楼</w:t>
      </w:r>
      <w:r>
        <w:rPr>
          <w:rFonts w:ascii="宋体" w:hAnsi="宋体"/>
        </w:rPr>
        <w:t>地面</w:t>
      </w:r>
      <w:r>
        <w:rPr>
          <w:rFonts w:hint="eastAsia" w:ascii="宋体" w:hAnsi="宋体"/>
        </w:rPr>
        <w:t>或</w:t>
      </w:r>
      <w:r>
        <w:rPr>
          <w:rFonts w:ascii="宋体" w:hAnsi="宋体"/>
        </w:rPr>
        <w:t>整体防水底盘</w:t>
      </w:r>
      <w:r>
        <w:rPr>
          <w:rFonts w:hint="eastAsia" w:ascii="宋体" w:hAnsi="宋体"/>
        </w:rPr>
        <w:t>的面积之和；</w:t>
      </w:r>
    </w:p>
    <w:p>
      <w:pPr>
        <w:pStyle w:val="26"/>
        <w:ind w:left="418" w:leftChars="0" w:firstLine="420" w:firstLineChars="0"/>
        <w:rPr>
          <w:rFonts w:ascii="宋体" w:hAnsi="宋体"/>
        </w:rPr>
      </w:pPr>
      <w:r>
        <w:rPr>
          <w:rFonts w:hint="eastAsia" w:ascii="宋体" w:hAnsi="宋体"/>
        </w:rPr>
        <w:t>A</w:t>
      </w:r>
      <w:r>
        <w:rPr>
          <w:rFonts w:ascii="宋体" w:hAnsi="宋体"/>
          <w:vertAlign w:val="subscript"/>
        </w:rPr>
        <w:t xml:space="preserve">b3 </w:t>
      </w:r>
      <w:r>
        <w:rPr>
          <w:rFonts w:hint="eastAsia" w:ascii="宋体" w:hAnsi="宋体"/>
        </w:rPr>
        <w:t>——各楼层卫生间楼</w:t>
      </w:r>
      <w:r>
        <w:rPr>
          <w:rFonts w:ascii="宋体" w:hAnsi="宋体"/>
        </w:rPr>
        <w:t>地面</w:t>
      </w:r>
      <w:r>
        <w:rPr>
          <w:rFonts w:hint="eastAsia" w:ascii="宋体" w:hAnsi="宋体"/>
        </w:rPr>
        <w:t>的总面积。</w:t>
      </w:r>
    </w:p>
    <w:p>
      <w:pPr>
        <w:pStyle w:val="24"/>
        <w:rPr>
          <w:rFonts w:ascii="宋体" w:hAnsi="宋体"/>
        </w:rPr>
      </w:pPr>
      <w:r>
        <w:rPr>
          <w:rFonts w:hint="eastAsia" w:ascii="宋体" w:hAnsi="宋体"/>
          <w:b/>
        </w:rPr>
        <w:t>4</w:t>
      </w:r>
      <w:r>
        <w:rPr>
          <w:rFonts w:ascii="宋体" w:hAnsi="宋体"/>
          <w:b/>
        </w:rPr>
        <w:t>.4.5</w:t>
      </w:r>
      <w:r>
        <w:rPr>
          <w:rFonts w:ascii="宋体" w:hAnsi="宋体"/>
        </w:rPr>
        <w:tab/>
      </w:r>
      <w:r>
        <w:rPr>
          <w:rFonts w:hint="eastAsia" w:ascii="宋体" w:hAnsi="宋体"/>
        </w:rPr>
        <w:t>管线分离比例应按下式计算：</w:t>
      </w:r>
    </w:p>
    <w:p>
      <w:pPr>
        <w:pStyle w:val="40"/>
        <w:rPr>
          <w:rFonts w:ascii="宋体" w:hAnsi="宋体"/>
        </w:rPr>
      </w:pPr>
      <w:r>
        <w:rPr>
          <w:rFonts w:ascii="宋体" w:hAnsi="宋体"/>
        </w:rPr>
        <w:tab/>
      </w:r>
      <w:r>
        <w:rPr>
          <w:rFonts w:ascii="宋体" w:hAnsi="宋体"/>
          <w:position w:val="-26"/>
        </w:rPr>
        <w:object>
          <v:shape id="_x0000_i1032" o:spt="75" type="#_x0000_t75" style="height:35.5pt;width:97.1pt;" o:ole="t" filled="f" o:preferrelative="t" stroked="f" coordsize="21600,21600">
            <v:path/>
            <v:fill on="f" focussize="0,0"/>
            <v:stroke on="f" joinstyle="miter"/>
            <v:imagedata r:id="rId28" o:title=""/>
            <o:lock v:ext="edit" aspectratio="t"/>
            <w10:wrap type="none"/>
            <w10:anchorlock/>
          </v:shape>
          <o:OLEObject Type="Embed" ProgID="Equation.DSMT4" ShapeID="_x0000_i1032" DrawAspect="Content" ObjectID="_1468075732" r:id="rId27">
            <o:LockedField>false</o:LockedField>
          </o:OLEObject>
        </w:object>
      </w:r>
      <w:r>
        <w:rPr>
          <w:rFonts w:ascii="宋体" w:hAnsi="宋体"/>
        </w:rPr>
        <w:tab/>
      </w:r>
      <w:r>
        <w:rPr>
          <w:rFonts w:hint="eastAsia" w:ascii="宋体" w:hAnsi="宋体"/>
        </w:rPr>
        <w:t>（4</w:t>
      </w:r>
      <w:r>
        <w:rPr>
          <w:rFonts w:ascii="宋体" w:hAnsi="宋体"/>
        </w:rPr>
        <w:t>.4.5</w:t>
      </w:r>
      <w:r>
        <w:rPr>
          <w:rFonts w:hint="eastAsia" w:ascii="宋体" w:hAnsi="宋体"/>
        </w:rPr>
        <w:t>）</w:t>
      </w:r>
    </w:p>
    <w:p>
      <w:pPr>
        <w:pStyle w:val="24"/>
        <w:rPr>
          <w:rFonts w:ascii="宋体" w:hAnsi="宋体"/>
        </w:rPr>
      </w:pPr>
      <w:r>
        <w:rPr>
          <w:rFonts w:hint="eastAsia" w:ascii="宋体" w:hAnsi="宋体"/>
        </w:rPr>
        <w:t>式中：</w:t>
      </w:r>
      <w:r>
        <w:rPr>
          <w:rFonts w:hint="eastAsia" w:ascii="宋体" w:hAnsi="宋体"/>
          <w:sz w:val="32"/>
        </w:rPr>
        <w:t>q</w:t>
      </w:r>
      <w:r>
        <w:rPr>
          <w:rFonts w:ascii="宋体" w:hAnsi="宋体"/>
          <w:sz w:val="32"/>
          <w:vertAlign w:val="subscript"/>
        </w:rPr>
        <w:t>3e</w:t>
      </w:r>
      <w:r>
        <w:rPr>
          <w:rFonts w:hint="eastAsia" w:ascii="宋体" w:hAnsi="宋体"/>
        </w:rPr>
        <w:t xml:space="preserve">——单专业管线分离比例； </w:t>
      </w:r>
    </w:p>
    <w:p>
      <w:pPr>
        <w:pStyle w:val="26"/>
        <w:rPr>
          <w:rFonts w:ascii="宋体" w:hAnsi="宋体"/>
        </w:rPr>
      </w:pPr>
      <w:r>
        <w:rPr>
          <w:rFonts w:ascii="宋体" w:hAnsi="宋体"/>
        </w:rPr>
        <w:t>L</w:t>
      </w:r>
      <w:r>
        <w:rPr>
          <w:rFonts w:ascii="宋体" w:hAnsi="宋体"/>
          <w:sz w:val="32"/>
          <w:vertAlign w:val="subscript"/>
        </w:rPr>
        <w:t>3e</w:t>
      </w:r>
      <w:r>
        <w:rPr>
          <w:rFonts w:hint="eastAsia" w:ascii="宋体" w:hAnsi="宋体"/>
        </w:rPr>
        <w:t>——单专业各楼层管线分离的长度，包括裸露于室内空间以及敷设在地面架空空腔、非承重墙体空腔内预置预埋和吊顶内的管线长度之和；</w:t>
      </w:r>
      <w:r>
        <w:rPr>
          <w:rFonts w:ascii="宋体" w:hAnsi="宋体"/>
        </w:rPr>
        <w:t xml:space="preserve"> </w:t>
      </w:r>
    </w:p>
    <w:p>
      <w:pPr>
        <w:widowControl/>
        <w:ind w:left="840"/>
        <w:jc w:val="left"/>
        <w:rPr>
          <w:rFonts w:ascii="宋体" w:hAnsi="宋体" w:cstheme="minorBidi"/>
          <w:sz w:val="28"/>
          <w:szCs w:val="28"/>
        </w:rPr>
      </w:pPr>
      <w:r>
        <w:rPr>
          <w:rFonts w:ascii="宋体" w:hAnsi="宋体" w:cstheme="minorBidi"/>
          <w:sz w:val="28"/>
          <w:szCs w:val="28"/>
        </w:rPr>
        <w:t xml:space="preserve">L </w:t>
      </w:r>
      <w:r>
        <w:rPr>
          <w:rFonts w:hint="eastAsia" w:ascii="宋体" w:hAnsi="宋体" w:cstheme="minorBidi"/>
          <w:sz w:val="28"/>
          <w:szCs w:val="28"/>
        </w:rPr>
        <w:t>——</w:t>
      </w:r>
      <w:r>
        <w:rPr>
          <w:rFonts w:hint="eastAsia" w:ascii="宋体" w:hAnsi="宋体"/>
          <w:sz w:val="28"/>
          <w:szCs w:val="28"/>
        </w:rPr>
        <w:t>单专业</w:t>
      </w:r>
      <w:r>
        <w:rPr>
          <w:rFonts w:hint="eastAsia" w:ascii="宋体" w:hAnsi="宋体" w:cstheme="minorBidi"/>
          <w:sz w:val="28"/>
          <w:szCs w:val="28"/>
        </w:rPr>
        <w:t>各楼层管线的总长度。</w:t>
      </w:r>
    </w:p>
    <w:p>
      <w:pPr>
        <w:pStyle w:val="45"/>
        <w:spacing w:before="156" w:after="156"/>
        <w:rPr>
          <w:rFonts w:ascii="宋体" w:hAnsi="宋体"/>
          <w:szCs w:val="28"/>
        </w:rPr>
      </w:pPr>
      <w:bookmarkStart w:id="16" w:name="_Toc133412696"/>
      <w:r>
        <w:rPr>
          <w:rFonts w:hint="eastAsia" w:ascii="宋体" w:hAnsi="宋体"/>
          <w:szCs w:val="28"/>
        </w:rPr>
        <w:t>4</w:t>
      </w:r>
      <w:r>
        <w:rPr>
          <w:rFonts w:ascii="宋体" w:hAnsi="宋体"/>
          <w:szCs w:val="28"/>
        </w:rPr>
        <w:t xml:space="preserve">.5 </w:t>
      </w:r>
      <w:r>
        <w:rPr>
          <w:rFonts w:hint="eastAsia" w:ascii="宋体" w:hAnsi="宋体"/>
          <w:szCs w:val="28"/>
        </w:rPr>
        <w:t>细化项</w:t>
      </w:r>
      <w:bookmarkEnd w:id="16"/>
    </w:p>
    <w:p>
      <w:pPr>
        <w:pStyle w:val="24"/>
        <w:rPr>
          <w:rFonts w:ascii="宋体" w:hAnsi="宋体"/>
        </w:rPr>
      </w:pPr>
      <w:r>
        <w:rPr>
          <w:rFonts w:ascii="宋体" w:hAnsi="宋体"/>
          <w:b/>
          <w:bCs/>
        </w:rPr>
        <w:t>4.5.1</w:t>
      </w:r>
      <w:r>
        <w:rPr>
          <w:rFonts w:ascii="宋体" w:hAnsi="宋体"/>
        </w:rPr>
        <w:tab/>
      </w:r>
      <w:r>
        <w:rPr>
          <w:rFonts w:hint="eastAsia" w:ascii="宋体" w:hAnsi="宋体"/>
        </w:rPr>
        <w:t>细化项</w:t>
      </w:r>
      <w:r>
        <w:rPr>
          <w:rFonts w:ascii="宋体" w:hAnsi="宋体"/>
        </w:rPr>
        <w:t>Q</w:t>
      </w:r>
      <w:r>
        <w:rPr>
          <w:rFonts w:ascii="宋体" w:hAnsi="宋体"/>
          <w:vertAlign w:val="subscript"/>
        </w:rPr>
        <w:t>51a</w:t>
      </w:r>
      <w:r>
        <w:rPr>
          <w:rFonts w:hint="eastAsia" w:ascii="宋体" w:hAnsi="宋体"/>
        </w:rPr>
        <w:t>评价要求的竖向预制部品部件的应用比例按本指引第</w:t>
      </w:r>
      <w:r>
        <w:rPr>
          <w:rFonts w:ascii="宋体" w:hAnsi="宋体"/>
        </w:rPr>
        <w:t>4.2.1</w:t>
      </w:r>
      <w:r>
        <w:rPr>
          <w:rFonts w:hint="eastAsia" w:ascii="宋体" w:hAnsi="宋体"/>
        </w:rPr>
        <w:t>条中公式计算。</w:t>
      </w:r>
    </w:p>
    <w:p>
      <w:pPr>
        <w:pStyle w:val="24"/>
        <w:rPr>
          <w:rFonts w:ascii="宋体" w:hAnsi="宋体"/>
        </w:rPr>
      </w:pPr>
      <w:r>
        <w:rPr>
          <w:rFonts w:ascii="宋体" w:hAnsi="宋体"/>
          <w:b/>
        </w:rPr>
        <w:t>4.5.2</w:t>
      </w:r>
      <w:r>
        <w:rPr>
          <w:rFonts w:ascii="宋体" w:hAnsi="宋体"/>
        </w:rPr>
        <w:tab/>
      </w:r>
      <w:r>
        <w:rPr>
          <w:rFonts w:hint="eastAsia" w:ascii="宋体" w:hAnsi="宋体"/>
        </w:rPr>
        <w:t>预制外墙板（含预制飘窗）主要采用混凝土材料时，预制部品部件的应用比例按下列公式计算：</w:t>
      </w:r>
    </w:p>
    <w:p>
      <w:pPr>
        <w:tabs>
          <w:tab w:val="center" w:pos="4540"/>
          <w:tab w:val="right" w:pos="9080"/>
        </w:tabs>
        <w:spacing w:line="360" w:lineRule="auto"/>
        <w:rPr>
          <w:rFonts w:ascii="宋体" w:hAnsi="宋体"/>
          <w:sz w:val="28"/>
        </w:rPr>
      </w:pPr>
      <w:r>
        <w:rPr>
          <w:rFonts w:ascii="宋体" w:hAnsi="宋体"/>
          <w:sz w:val="28"/>
        </w:rPr>
        <w:tab/>
      </w:r>
      <w:r>
        <w:rPr>
          <w:rFonts w:ascii="宋体" w:hAnsi="宋体"/>
          <w:position w:val="-34"/>
          <w:sz w:val="28"/>
        </w:rPr>
        <w:object>
          <v:shape id="_x0000_i1033" o:spt="75" type="#_x0000_t75" style="height:38.6pt;width:117.85pt;" o:ole="t" filled="f" o:preferrelative="t" stroked="f" coordsize="21600,21600">
            <v:path/>
            <v:fill on="f" focussize="0,0"/>
            <v:stroke on="f" joinstyle="miter"/>
            <v:imagedata r:id="rId30" o:title=""/>
            <o:lock v:ext="edit" aspectratio="t"/>
            <w10:wrap type="none"/>
            <w10:anchorlock/>
          </v:shape>
          <o:OLEObject Type="Embed" ProgID="Equation.DSMT4" ShapeID="_x0000_i1033" DrawAspect="Content" ObjectID="_1468075733" r:id="rId29">
            <o:LockedField>false</o:LockedField>
          </o:OLEObject>
        </w:object>
      </w:r>
      <w:r>
        <w:rPr>
          <w:rFonts w:ascii="宋体" w:hAnsi="宋体"/>
          <w:sz w:val="28"/>
        </w:rPr>
        <w:tab/>
      </w:r>
      <w:r>
        <w:rPr>
          <w:rFonts w:hint="eastAsia" w:ascii="宋体" w:hAnsi="宋体"/>
          <w:sz w:val="28"/>
        </w:rPr>
        <w:t>（4</w:t>
      </w:r>
      <w:r>
        <w:rPr>
          <w:rFonts w:ascii="宋体" w:hAnsi="宋体"/>
          <w:sz w:val="28"/>
        </w:rPr>
        <w:t>.5.2</w:t>
      </w:r>
      <w:r>
        <w:rPr>
          <w:rFonts w:hint="eastAsia" w:ascii="宋体" w:hAnsi="宋体"/>
          <w:sz w:val="28"/>
        </w:rPr>
        <w:t>）</w:t>
      </w:r>
    </w:p>
    <w:p>
      <w:pPr>
        <w:pStyle w:val="38"/>
        <w:rPr>
          <w:rFonts w:ascii="宋体" w:hAnsi="宋体"/>
        </w:rPr>
      </w:pPr>
      <w:r>
        <w:rPr>
          <w:rFonts w:hint="eastAsia" w:ascii="宋体" w:hAnsi="宋体"/>
        </w:rPr>
        <w:t>式中：</w:t>
      </w:r>
      <w:r>
        <w:rPr>
          <w:rFonts w:ascii="宋体" w:hAnsi="宋体"/>
        </w:rPr>
        <w:t>q</w:t>
      </w:r>
      <w:r>
        <w:rPr>
          <w:rFonts w:ascii="宋体" w:hAnsi="宋体"/>
          <w:vertAlign w:val="subscript"/>
        </w:rPr>
        <w:t>51</w:t>
      </w:r>
      <w:r>
        <w:rPr>
          <w:rFonts w:hint="eastAsia" w:ascii="宋体" w:hAnsi="宋体"/>
          <w:vertAlign w:val="subscript"/>
        </w:rPr>
        <w:t>b</w:t>
      </w:r>
      <w:r>
        <w:rPr>
          <w:rFonts w:hint="eastAsia" w:ascii="宋体" w:hAnsi="宋体"/>
        </w:rPr>
        <w:t>——预制外墙板的应用比例；</w:t>
      </w:r>
    </w:p>
    <w:p>
      <w:pPr>
        <w:pStyle w:val="26"/>
        <w:ind w:left="1678" w:hanging="840" w:hangingChars="300"/>
        <w:rPr>
          <w:rFonts w:ascii="宋体" w:hAnsi="宋体"/>
        </w:rPr>
      </w:pPr>
      <w:r>
        <w:rPr>
          <w:rFonts w:hint="eastAsia" w:ascii="宋体" w:hAnsi="宋体"/>
        </w:rPr>
        <w:t>V——柱、支撑、承重墙、延性墙板等主体结构竖向构件混凝土总体积。</w:t>
      </w:r>
    </w:p>
    <w:p>
      <w:pPr>
        <w:pStyle w:val="26"/>
        <w:rPr>
          <w:rFonts w:ascii="宋体" w:hAnsi="宋体"/>
        </w:rPr>
      </w:pPr>
      <w:r>
        <w:rPr>
          <w:rFonts w:hint="eastAsia" w:ascii="宋体" w:hAnsi="宋体"/>
        </w:rPr>
        <w:t>V</w:t>
      </w:r>
      <w:r>
        <w:rPr>
          <w:rFonts w:ascii="宋体" w:hAnsi="宋体"/>
          <w:vertAlign w:val="subscript"/>
        </w:rPr>
        <w:t>w</w:t>
      </w:r>
      <w:r>
        <w:rPr>
          <w:rFonts w:hint="eastAsia" w:ascii="宋体" w:hAnsi="宋体"/>
        </w:rPr>
        <w:t>——预制外墙板（含预制飘窗）混凝土体积之和。</w:t>
      </w:r>
    </w:p>
    <w:p>
      <w:pPr>
        <w:pStyle w:val="24"/>
        <w:rPr>
          <w:rFonts w:ascii="宋体" w:hAnsi="宋体"/>
        </w:rPr>
      </w:pPr>
      <w:r>
        <w:rPr>
          <w:rFonts w:hint="eastAsia" w:ascii="宋体" w:hAnsi="宋体"/>
          <w:b/>
        </w:rPr>
        <w:t>4</w:t>
      </w:r>
      <w:r>
        <w:rPr>
          <w:rFonts w:ascii="宋体" w:hAnsi="宋体"/>
          <w:b/>
        </w:rPr>
        <w:t>.5.3</w:t>
      </w:r>
      <w:r>
        <w:rPr>
          <w:rFonts w:ascii="宋体" w:hAnsi="宋体"/>
          <w:b/>
        </w:rPr>
        <w:tab/>
      </w:r>
      <w:r>
        <w:rPr>
          <w:rFonts w:hint="eastAsia" w:ascii="宋体" w:hAnsi="宋体"/>
        </w:rPr>
        <w:t>围护墙采用墙体、保温、隔热集成一体化的应用比例应按下式计算：</w:t>
      </w:r>
    </w:p>
    <w:p>
      <w:pPr>
        <w:pStyle w:val="40"/>
        <w:rPr>
          <w:rFonts w:ascii="宋体" w:hAnsi="宋体"/>
          <w:szCs w:val="28"/>
        </w:rPr>
      </w:pPr>
      <w:r>
        <w:rPr>
          <w:rFonts w:ascii="宋体" w:hAnsi="宋体"/>
          <w:szCs w:val="28"/>
        </w:rPr>
        <w:tab/>
      </w:r>
      <w:r>
        <w:rPr>
          <w:rFonts w:ascii="宋体" w:hAnsi="宋体"/>
          <w:position w:val="-34"/>
          <w:szCs w:val="28"/>
        </w:rPr>
        <w:object>
          <v:shape id="_x0000_i1034" o:spt="75" type="#_x0000_t75" style="height:39.65pt;width:108.55pt;" o:ole="t" filled="f" o:preferrelative="t" stroked="f" coordsize="21600,21600">
            <v:path/>
            <v:fill on="f" focussize="0,0"/>
            <v:stroke on="f" joinstyle="miter"/>
            <v:imagedata r:id="rId32" o:title=""/>
            <o:lock v:ext="edit" aspectratio="t"/>
            <w10:wrap type="none"/>
            <w10:anchorlock/>
          </v:shape>
          <o:OLEObject Type="Embed" ProgID="Equation.DSMT4" ShapeID="_x0000_i1034" DrawAspect="Content" ObjectID="_1468075734" r:id="rId31">
            <o:LockedField>false</o:LockedField>
          </o:OLEObject>
        </w:object>
      </w:r>
      <w:r>
        <w:rPr>
          <w:rFonts w:ascii="宋体" w:hAnsi="宋体"/>
          <w:szCs w:val="28"/>
        </w:rPr>
        <w:tab/>
      </w:r>
      <w:r>
        <w:rPr>
          <w:rFonts w:hint="eastAsia" w:ascii="宋体" w:hAnsi="宋体"/>
          <w:szCs w:val="28"/>
        </w:rPr>
        <w:t>（4</w:t>
      </w:r>
      <w:r>
        <w:rPr>
          <w:rFonts w:ascii="宋体" w:hAnsi="宋体"/>
          <w:szCs w:val="28"/>
        </w:rPr>
        <w:t>.5.3</w:t>
      </w:r>
      <w:r>
        <w:rPr>
          <w:rFonts w:hint="eastAsia" w:ascii="宋体" w:hAnsi="宋体"/>
          <w:szCs w:val="28"/>
        </w:rPr>
        <w:t>）</w:t>
      </w:r>
    </w:p>
    <w:p>
      <w:pPr>
        <w:pStyle w:val="38"/>
        <w:rPr>
          <w:rFonts w:ascii="宋体" w:hAnsi="宋体"/>
        </w:rPr>
      </w:pPr>
      <w:r>
        <w:rPr>
          <w:rFonts w:hint="eastAsia" w:ascii="宋体" w:hAnsi="宋体"/>
        </w:rPr>
        <w:t>式中：q</w:t>
      </w:r>
      <w:r>
        <w:rPr>
          <w:rFonts w:ascii="宋体" w:hAnsi="宋体"/>
          <w:vertAlign w:val="subscript"/>
        </w:rPr>
        <w:t>52</w:t>
      </w:r>
      <w:r>
        <w:rPr>
          <w:rFonts w:hint="eastAsia" w:ascii="宋体" w:hAnsi="宋体"/>
          <w:vertAlign w:val="subscript"/>
        </w:rPr>
        <w:t>a</w:t>
      </w:r>
      <w:r>
        <w:rPr>
          <w:rFonts w:hint="eastAsia" w:ascii="宋体" w:hAnsi="宋体"/>
        </w:rPr>
        <w:t>——围护墙采用墙体、保温、隔热一体化的应用比例；</w:t>
      </w:r>
    </w:p>
    <w:p>
      <w:pPr>
        <w:pStyle w:val="26"/>
        <w:ind w:left="1678" w:hanging="840" w:hangingChars="300"/>
        <w:rPr>
          <w:rFonts w:ascii="宋体" w:hAnsi="宋体"/>
        </w:rPr>
      </w:pPr>
      <w:r>
        <w:rPr>
          <w:rFonts w:hint="eastAsia" w:ascii="宋体" w:hAnsi="宋体"/>
        </w:rPr>
        <w:t>A</w:t>
      </w:r>
      <w:r>
        <w:rPr>
          <w:rFonts w:ascii="宋体" w:hAnsi="宋体"/>
          <w:vertAlign w:val="subscript"/>
        </w:rPr>
        <w:t>52</w:t>
      </w:r>
      <w:r>
        <w:rPr>
          <w:rFonts w:hint="eastAsia" w:ascii="宋体" w:hAnsi="宋体"/>
          <w:vertAlign w:val="subscript"/>
        </w:rPr>
        <w:t>a</w:t>
      </w:r>
      <w:r>
        <w:rPr>
          <w:rFonts w:hint="eastAsia" w:ascii="宋体" w:hAnsi="宋体"/>
        </w:rPr>
        <w:t>——各楼层围护墙采用墙体、保温、隔热一体化墙体外表面积之和，计算时可不扣除门、窗及预留洞口等的面积，可扣除承重竖向构件的面积；</w:t>
      </w:r>
    </w:p>
    <w:p>
      <w:pPr>
        <w:pStyle w:val="26"/>
        <w:ind w:left="1678" w:hanging="840" w:hangingChars="300"/>
        <w:rPr>
          <w:rFonts w:ascii="宋体" w:hAnsi="宋体"/>
        </w:rPr>
      </w:pPr>
      <w:r>
        <w:rPr>
          <w:rFonts w:hint="eastAsia" w:ascii="宋体" w:hAnsi="宋体"/>
        </w:rPr>
        <w:t>A</w:t>
      </w:r>
      <w:r>
        <w:rPr>
          <w:rFonts w:hint="eastAsia" w:ascii="宋体" w:hAnsi="宋体"/>
          <w:vertAlign w:val="subscript"/>
        </w:rPr>
        <w:t>w2</w:t>
      </w:r>
      <w:r>
        <w:rPr>
          <w:rFonts w:hint="eastAsia" w:ascii="宋体" w:hAnsi="宋体"/>
        </w:rPr>
        <w:t>——各楼层外围护墙外表总面积，计算时可不扣除门、窗及预留洞口等的面积，可扣除承重竖向构件的面积。</w:t>
      </w:r>
    </w:p>
    <w:p>
      <w:pPr>
        <w:pStyle w:val="24"/>
        <w:rPr>
          <w:rFonts w:ascii="宋体" w:hAnsi="宋体"/>
        </w:rPr>
      </w:pPr>
      <w:r>
        <w:rPr>
          <w:rFonts w:hint="eastAsia" w:ascii="宋体" w:hAnsi="宋体"/>
          <w:b/>
        </w:rPr>
        <w:t>4.</w:t>
      </w:r>
      <w:r>
        <w:rPr>
          <w:rFonts w:ascii="宋体" w:hAnsi="宋体"/>
          <w:b/>
        </w:rPr>
        <w:t>5</w:t>
      </w:r>
      <w:r>
        <w:rPr>
          <w:rFonts w:hint="eastAsia" w:ascii="宋体" w:hAnsi="宋体"/>
          <w:b/>
        </w:rPr>
        <w:t>.</w:t>
      </w:r>
      <w:r>
        <w:rPr>
          <w:rFonts w:ascii="宋体" w:hAnsi="宋体"/>
          <w:b/>
        </w:rPr>
        <w:t>4</w:t>
      </w:r>
      <w:r>
        <w:rPr>
          <w:rFonts w:ascii="宋体" w:hAnsi="宋体"/>
        </w:rPr>
        <w:tab/>
      </w:r>
      <w:r>
        <w:rPr>
          <w:rFonts w:hint="eastAsia" w:ascii="宋体" w:hAnsi="宋体"/>
        </w:rPr>
        <w:t>内隔墙采用墙体、管线集成一体化的应用比例应按下式计算：</w:t>
      </w:r>
    </w:p>
    <w:p>
      <w:pPr>
        <w:pStyle w:val="40"/>
        <w:rPr>
          <w:rFonts w:ascii="宋体" w:hAnsi="宋体"/>
          <w:szCs w:val="28"/>
        </w:rPr>
      </w:pPr>
      <w:r>
        <w:rPr>
          <w:rFonts w:ascii="宋体" w:hAnsi="宋体"/>
          <w:szCs w:val="28"/>
        </w:rPr>
        <w:tab/>
      </w:r>
      <w:r>
        <w:rPr>
          <w:rFonts w:ascii="宋体" w:hAnsi="宋体"/>
          <w:position w:val="-34"/>
          <w:szCs w:val="28"/>
        </w:rPr>
        <w:object>
          <v:shape id="_x0000_i1035" o:spt="75" type="#_x0000_t75" style="height:39.65pt;width:107.5pt;" o:ole="t" filled="f" o:preferrelative="t" stroked="f" coordsize="21600,21600">
            <v:path/>
            <v:fill on="f" focussize="0,0"/>
            <v:stroke on="f" joinstyle="miter"/>
            <v:imagedata r:id="rId34" o:title=""/>
            <o:lock v:ext="edit" aspectratio="t"/>
            <w10:wrap type="none"/>
            <w10:anchorlock/>
          </v:shape>
          <o:OLEObject Type="Embed" ProgID="Equation.DSMT4" ShapeID="_x0000_i1035" DrawAspect="Content" ObjectID="_1468075735" r:id="rId33">
            <o:LockedField>false</o:LockedField>
          </o:OLEObject>
        </w:object>
      </w:r>
      <w:r>
        <w:rPr>
          <w:rFonts w:ascii="宋体" w:hAnsi="宋体"/>
          <w:szCs w:val="28"/>
        </w:rPr>
        <w:tab/>
      </w:r>
      <w:r>
        <w:rPr>
          <w:rFonts w:hint="eastAsia" w:ascii="宋体" w:hAnsi="宋体"/>
          <w:szCs w:val="28"/>
        </w:rPr>
        <w:t>（4</w:t>
      </w:r>
      <w:r>
        <w:rPr>
          <w:rFonts w:ascii="宋体" w:hAnsi="宋体"/>
          <w:szCs w:val="28"/>
        </w:rPr>
        <w:t>.5.4</w:t>
      </w:r>
      <w:r>
        <w:rPr>
          <w:rFonts w:hint="eastAsia" w:ascii="宋体" w:hAnsi="宋体"/>
          <w:szCs w:val="28"/>
        </w:rPr>
        <w:t>）</w:t>
      </w:r>
    </w:p>
    <w:p>
      <w:pPr>
        <w:pStyle w:val="38"/>
        <w:rPr>
          <w:rFonts w:ascii="宋体" w:hAnsi="宋体"/>
        </w:rPr>
      </w:pPr>
      <w:r>
        <w:rPr>
          <w:rFonts w:hint="eastAsia" w:ascii="宋体" w:hAnsi="宋体"/>
        </w:rPr>
        <w:t>式中：</w:t>
      </w:r>
      <w:r>
        <w:rPr>
          <w:rFonts w:ascii="宋体" w:hAnsi="宋体"/>
        </w:rPr>
        <w:t>q</w:t>
      </w:r>
      <w:r>
        <w:rPr>
          <w:rFonts w:ascii="宋体" w:hAnsi="宋体"/>
          <w:vertAlign w:val="subscript"/>
        </w:rPr>
        <w:t>5</w:t>
      </w:r>
      <w:r>
        <w:rPr>
          <w:rFonts w:hint="eastAsia" w:ascii="宋体" w:hAnsi="宋体"/>
          <w:vertAlign w:val="subscript"/>
        </w:rPr>
        <w:t>2b</w:t>
      </w:r>
      <w:r>
        <w:rPr>
          <w:rFonts w:hint="eastAsia" w:ascii="宋体" w:hAnsi="宋体"/>
        </w:rPr>
        <w:t>——内隔墙采用墙体、管线一体化的应用比例；</w:t>
      </w:r>
    </w:p>
    <w:p>
      <w:pPr>
        <w:pStyle w:val="26"/>
        <w:ind w:left="1678" w:hanging="840" w:hangingChars="300"/>
        <w:rPr>
          <w:rFonts w:ascii="宋体" w:hAnsi="宋体"/>
        </w:rPr>
      </w:pPr>
      <w:r>
        <w:rPr>
          <w:rFonts w:ascii="宋体" w:hAnsi="宋体"/>
        </w:rPr>
        <w:t>A</w:t>
      </w:r>
      <w:r>
        <w:rPr>
          <w:rFonts w:ascii="宋体" w:hAnsi="宋体"/>
          <w:vertAlign w:val="subscript"/>
        </w:rPr>
        <w:t>5</w:t>
      </w:r>
      <w:r>
        <w:rPr>
          <w:rFonts w:hint="eastAsia" w:ascii="宋体" w:hAnsi="宋体"/>
          <w:vertAlign w:val="subscript"/>
        </w:rPr>
        <w:t>2b</w:t>
      </w:r>
      <w:r>
        <w:rPr>
          <w:rFonts w:hint="eastAsia" w:ascii="宋体" w:hAnsi="宋体"/>
        </w:rPr>
        <w:t>——各楼层内隔墙采用墙体、管线一体化墙体表面积之和，计算时可不扣除门、窗及预留洞口等的面积。</w:t>
      </w:r>
    </w:p>
    <w:p>
      <w:pPr>
        <w:pStyle w:val="26"/>
        <w:ind w:left="1678" w:hanging="840" w:hangingChars="300"/>
        <w:rPr>
          <w:rFonts w:ascii="宋体" w:hAnsi="宋体"/>
        </w:rPr>
      </w:pPr>
      <w:r>
        <w:rPr>
          <w:rFonts w:hint="eastAsia" w:ascii="宋体" w:hAnsi="宋体"/>
        </w:rPr>
        <w:t>A</w:t>
      </w:r>
      <w:r>
        <w:rPr>
          <w:rFonts w:hint="eastAsia" w:ascii="宋体" w:hAnsi="宋体"/>
          <w:vertAlign w:val="subscript"/>
        </w:rPr>
        <w:t>w3</w:t>
      </w:r>
      <w:r>
        <w:rPr>
          <w:rFonts w:hint="eastAsia" w:ascii="宋体" w:hAnsi="宋体"/>
        </w:rPr>
        <w:t>——各楼层内隔墙墙面总面积，计算时可不扣除门、窗及预留洞口等的面积，可扣除承重竖向构件的面积。</w:t>
      </w:r>
    </w:p>
    <w:p>
      <w:pPr>
        <w:pStyle w:val="45"/>
        <w:spacing w:before="156" w:after="156"/>
        <w:rPr>
          <w:rFonts w:ascii="宋体" w:hAnsi="宋体"/>
        </w:rPr>
      </w:pPr>
      <w:bookmarkStart w:id="17" w:name="_Toc133412697"/>
      <w:r>
        <w:rPr>
          <w:rFonts w:hint="eastAsia" w:ascii="宋体" w:hAnsi="宋体"/>
          <w:szCs w:val="28"/>
        </w:rPr>
        <w:t>4</w:t>
      </w:r>
      <w:r>
        <w:rPr>
          <w:rFonts w:ascii="宋体" w:hAnsi="宋体"/>
          <w:szCs w:val="28"/>
        </w:rPr>
        <w:t xml:space="preserve">.6 </w:t>
      </w:r>
      <w:r>
        <w:rPr>
          <w:rFonts w:hint="eastAsia" w:ascii="宋体" w:hAnsi="宋体"/>
        </w:rPr>
        <w:t>鼓励项</w:t>
      </w:r>
      <w:bookmarkEnd w:id="17"/>
    </w:p>
    <w:p>
      <w:pPr>
        <w:spacing w:line="360" w:lineRule="auto"/>
        <w:rPr>
          <w:rFonts w:ascii="宋体" w:hAnsi="宋体"/>
          <w:sz w:val="28"/>
          <w:szCs w:val="28"/>
        </w:rPr>
      </w:pPr>
      <w:r>
        <w:rPr>
          <w:rFonts w:hint="eastAsia" w:ascii="宋体" w:hAnsi="宋体"/>
          <w:b/>
          <w:sz w:val="28"/>
          <w:szCs w:val="28"/>
        </w:rPr>
        <w:t>4</w:t>
      </w:r>
      <w:r>
        <w:rPr>
          <w:rFonts w:ascii="宋体" w:hAnsi="宋体"/>
          <w:b/>
          <w:sz w:val="28"/>
          <w:szCs w:val="28"/>
        </w:rPr>
        <w:t>.6.1</w:t>
      </w:r>
      <w:r>
        <w:rPr>
          <w:rFonts w:ascii="宋体" w:hAnsi="宋体"/>
          <w:b/>
          <w:sz w:val="28"/>
          <w:szCs w:val="28"/>
        </w:rPr>
        <w:tab/>
      </w:r>
      <w:r>
        <w:rPr>
          <w:rFonts w:ascii="宋体" w:hAnsi="宋体"/>
          <w:b/>
          <w:sz w:val="28"/>
          <w:szCs w:val="28"/>
        </w:rPr>
        <w:t xml:space="preserve"> </w:t>
      </w:r>
      <w:r>
        <w:rPr>
          <w:rFonts w:hint="eastAsia" w:ascii="宋体" w:hAnsi="宋体"/>
          <w:sz w:val="28"/>
          <w:szCs w:val="28"/>
        </w:rPr>
        <w:t>模数协调应满足建筑的设计、生产、装配等活动的相互协调以及建筑、结构、内装、设备管线等集成设计的相互协调的要求，并</w:t>
      </w:r>
      <w:r>
        <w:rPr>
          <w:rFonts w:ascii="宋体" w:hAnsi="宋体"/>
          <w:sz w:val="28"/>
          <w:szCs w:val="28"/>
        </w:rPr>
        <w:t>应</w:t>
      </w:r>
      <w:r>
        <w:rPr>
          <w:rFonts w:hint="eastAsia" w:ascii="宋体" w:hAnsi="宋体"/>
          <w:sz w:val="28"/>
          <w:szCs w:val="28"/>
        </w:rPr>
        <w:t>符合现行国家标准《建筑模数协调标准》GB/T 50002有关规定。模数协调评价项当满足以下规定时，该项评价分值为</w:t>
      </w:r>
      <w:r>
        <w:rPr>
          <w:rFonts w:ascii="宋体" w:hAnsi="宋体"/>
          <w:sz w:val="28"/>
          <w:szCs w:val="28"/>
        </w:rPr>
        <w:t>0.5</w:t>
      </w:r>
      <w:r>
        <w:rPr>
          <w:rFonts w:hint="eastAsia" w:ascii="宋体" w:hAnsi="宋体"/>
          <w:sz w:val="28"/>
          <w:szCs w:val="28"/>
        </w:rPr>
        <w:t>分：</w:t>
      </w:r>
    </w:p>
    <w:p>
      <w:pPr>
        <w:spacing w:line="360" w:lineRule="auto"/>
        <w:ind w:firstLine="560" w:firstLineChars="200"/>
        <w:rPr>
          <w:rFonts w:ascii="宋体" w:hAnsi="宋体"/>
          <w:sz w:val="28"/>
          <w:szCs w:val="28"/>
        </w:rPr>
      </w:pPr>
      <w:r>
        <w:rPr>
          <w:rFonts w:hint="eastAsia" w:ascii="宋体" w:hAnsi="宋体"/>
          <w:sz w:val="28"/>
          <w:szCs w:val="28"/>
        </w:rPr>
        <w:t>（1）主要功能空间轴线尺寸设计采用扩大模数2nM、3nM模数数列；</w:t>
      </w:r>
    </w:p>
    <w:p>
      <w:pPr>
        <w:spacing w:line="360" w:lineRule="auto"/>
        <w:ind w:firstLine="560" w:firstLineChars="200"/>
        <w:rPr>
          <w:rFonts w:ascii="宋体" w:hAnsi="宋体"/>
          <w:sz w:val="28"/>
          <w:szCs w:val="28"/>
        </w:rPr>
      </w:pPr>
      <w:r>
        <w:rPr>
          <w:rFonts w:hint="eastAsia" w:ascii="宋体" w:hAnsi="宋体"/>
          <w:sz w:val="28"/>
          <w:szCs w:val="28"/>
        </w:rPr>
        <w:t>（2）建筑层高采用竖向基本模数和竖向扩大模数数列，竖向扩大模数数列采用基本nM模数数列；</w:t>
      </w:r>
    </w:p>
    <w:p>
      <w:pPr>
        <w:spacing w:line="360" w:lineRule="auto"/>
        <w:ind w:firstLine="560" w:firstLineChars="200"/>
        <w:rPr>
          <w:rFonts w:ascii="宋体" w:hAnsi="宋体"/>
          <w:sz w:val="28"/>
          <w:szCs w:val="28"/>
        </w:rPr>
      </w:pPr>
      <w:r>
        <w:rPr>
          <w:rFonts w:hint="eastAsia" w:ascii="宋体" w:hAnsi="宋体"/>
          <w:sz w:val="28"/>
          <w:szCs w:val="28"/>
        </w:rPr>
        <w:t>（3）外墙洞口宜规整有序，门窗洞口高度采用基本模数nM模数数列，宽度采用2nM、3nM模数数列。</w:t>
      </w:r>
    </w:p>
    <w:p>
      <w:pPr>
        <w:spacing w:line="360" w:lineRule="auto"/>
        <w:rPr>
          <w:rFonts w:ascii="宋体" w:hAnsi="宋体"/>
          <w:sz w:val="28"/>
          <w:szCs w:val="28"/>
        </w:rPr>
      </w:pPr>
      <w:r>
        <w:rPr>
          <w:rFonts w:hint="eastAsia" w:ascii="宋体" w:hAnsi="宋体"/>
          <w:b/>
          <w:sz w:val="28"/>
          <w:szCs w:val="28"/>
        </w:rPr>
        <w:t>4</w:t>
      </w:r>
      <w:r>
        <w:rPr>
          <w:rFonts w:ascii="宋体" w:hAnsi="宋体"/>
          <w:b/>
          <w:sz w:val="28"/>
          <w:szCs w:val="28"/>
        </w:rPr>
        <w:t>.6.2</w:t>
      </w:r>
      <w:r>
        <w:rPr>
          <w:rFonts w:ascii="宋体" w:hAnsi="宋体"/>
          <w:b/>
          <w:sz w:val="28"/>
          <w:szCs w:val="28"/>
        </w:rPr>
        <w:tab/>
      </w:r>
      <w:r>
        <w:rPr>
          <w:rFonts w:hint="eastAsia" w:ascii="宋体" w:hAnsi="宋体"/>
          <w:sz w:val="28"/>
          <w:szCs w:val="28"/>
        </w:rPr>
        <w:t>平面布置标准化评价项应符合以下规定：</w:t>
      </w:r>
    </w:p>
    <w:p>
      <w:pPr>
        <w:spacing w:line="360" w:lineRule="auto"/>
        <w:ind w:firstLine="560" w:firstLineChars="200"/>
        <w:rPr>
          <w:rFonts w:ascii="宋体" w:hAnsi="宋体"/>
          <w:sz w:val="28"/>
          <w:szCs w:val="28"/>
        </w:rPr>
      </w:pPr>
      <w:r>
        <w:rPr>
          <w:rFonts w:hint="eastAsia" w:ascii="宋体" w:hAnsi="宋体"/>
          <w:sz w:val="28"/>
          <w:szCs w:val="28"/>
        </w:rPr>
        <w:t>1、在公共建筑中，重复使用量最多的三个基本单元（写字楼的办公间、酒店的标准间、医院的病房、学校的教室等）的面积之和占评价单元总建筑面积的比例不低于</w:t>
      </w:r>
      <w:r>
        <w:rPr>
          <w:rFonts w:ascii="宋体" w:hAnsi="宋体"/>
          <w:sz w:val="28"/>
          <w:szCs w:val="28"/>
        </w:rPr>
        <w:t>50%</w:t>
      </w:r>
      <w:r>
        <w:rPr>
          <w:rFonts w:hint="eastAsia" w:ascii="宋体" w:hAnsi="宋体"/>
          <w:sz w:val="28"/>
          <w:szCs w:val="28"/>
        </w:rPr>
        <w:t>时，该项评价分值为</w:t>
      </w:r>
      <w:r>
        <w:rPr>
          <w:rFonts w:ascii="宋体" w:hAnsi="宋体"/>
          <w:sz w:val="28"/>
          <w:szCs w:val="28"/>
        </w:rPr>
        <w:t>1</w:t>
      </w:r>
      <w:r>
        <w:rPr>
          <w:rFonts w:hint="eastAsia" w:ascii="宋体" w:hAnsi="宋体"/>
          <w:sz w:val="28"/>
          <w:szCs w:val="28"/>
        </w:rPr>
        <w:t>分。</w:t>
      </w:r>
    </w:p>
    <w:p>
      <w:pPr>
        <w:spacing w:line="360" w:lineRule="auto"/>
        <w:ind w:firstLine="560" w:firstLineChars="200"/>
        <w:rPr>
          <w:rFonts w:ascii="宋体" w:hAnsi="宋体"/>
          <w:sz w:val="28"/>
          <w:szCs w:val="28"/>
        </w:rPr>
      </w:pPr>
      <w:r>
        <w:rPr>
          <w:rFonts w:ascii="宋体" w:hAnsi="宋体"/>
          <w:sz w:val="28"/>
          <w:szCs w:val="28"/>
        </w:rPr>
        <w:t>2</w:t>
      </w:r>
      <w:r>
        <w:rPr>
          <w:rFonts w:hint="eastAsia" w:ascii="宋体" w:hAnsi="宋体"/>
          <w:sz w:val="28"/>
          <w:szCs w:val="28"/>
        </w:rPr>
        <w:t>、居住建筑采用国家、省、市等标准化户型图集方案或满足下列技术要求时，该项评价分值为</w:t>
      </w:r>
      <w:r>
        <w:rPr>
          <w:rFonts w:ascii="宋体" w:hAnsi="宋体"/>
          <w:sz w:val="28"/>
          <w:szCs w:val="28"/>
        </w:rPr>
        <w:t>1</w:t>
      </w:r>
      <w:r>
        <w:rPr>
          <w:rFonts w:hint="eastAsia" w:ascii="宋体" w:hAnsi="宋体"/>
          <w:sz w:val="28"/>
          <w:szCs w:val="28"/>
        </w:rPr>
        <w:t>分：主体结构网格尺寸宜满足相关规范的模数要求；评价单元中，重复使用量最多的三个基本户型的面积之和占总建筑面积的比例不低于5</w:t>
      </w:r>
      <w:r>
        <w:rPr>
          <w:rFonts w:ascii="宋体" w:hAnsi="宋体"/>
          <w:sz w:val="28"/>
          <w:szCs w:val="28"/>
        </w:rPr>
        <w:t>0%</w:t>
      </w:r>
      <w:r>
        <w:rPr>
          <w:rFonts w:hint="eastAsia" w:ascii="宋体" w:hAnsi="宋体"/>
          <w:sz w:val="28"/>
          <w:szCs w:val="28"/>
        </w:rPr>
        <w:t>。</w:t>
      </w:r>
    </w:p>
    <w:p>
      <w:pPr>
        <w:spacing w:line="360" w:lineRule="auto"/>
        <w:rPr>
          <w:rFonts w:ascii="宋体" w:hAnsi="宋体"/>
          <w:sz w:val="28"/>
          <w:szCs w:val="28"/>
        </w:rPr>
      </w:pPr>
      <w:r>
        <w:rPr>
          <w:rFonts w:ascii="宋体" w:hAnsi="宋体"/>
          <w:b/>
          <w:sz w:val="28"/>
          <w:szCs w:val="28"/>
        </w:rPr>
        <w:t>4.6.3</w:t>
      </w:r>
      <w:r>
        <w:rPr>
          <w:rFonts w:ascii="宋体" w:hAnsi="宋体"/>
          <w:sz w:val="28"/>
          <w:szCs w:val="28"/>
        </w:rPr>
        <w:tab/>
      </w:r>
      <w:r>
        <w:rPr>
          <w:rFonts w:hint="eastAsia" w:ascii="宋体" w:hAnsi="宋体"/>
          <w:sz w:val="28"/>
          <w:szCs w:val="28"/>
        </w:rPr>
        <w:t>预制构件标准化应满足规格少、组合多的要求，预制构件标准化评价项当</w:t>
      </w:r>
      <w:r>
        <w:rPr>
          <w:rFonts w:ascii="宋体" w:hAnsi="宋体"/>
          <w:sz w:val="28"/>
          <w:szCs w:val="28"/>
        </w:rPr>
        <w:t>满足以下任一规定</w:t>
      </w:r>
      <w:r>
        <w:rPr>
          <w:rFonts w:hint="eastAsia" w:ascii="宋体" w:hAnsi="宋体"/>
          <w:sz w:val="28"/>
          <w:szCs w:val="28"/>
        </w:rPr>
        <w:t>时</w:t>
      </w:r>
      <w:r>
        <w:rPr>
          <w:rFonts w:ascii="宋体" w:hAnsi="宋体"/>
          <w:sz w:val="28"/>
          <w:szCs w:val="28"/>
        </w:rPr>
        <w:t>，该项评价分值为1</w:t>
      </w:r>
      <w:r>
        <w:rPr>
          <w:rFonts w:hint="eastAsia" w:ascii="宋体" w:hAnsi="宋体"/>
          <w:sz w:val="28"/>
          <w:szCs w:val="28"/>
        </w:rPr>
        <w:t>分：</w:t>
      </w:r>
    </w:p>
    <w:p>
      <w:pPr>
        <w:spacing w:line="360" w:lineRule="auto"/>
        <w:ind w:firstLine="560" w:firstLineChars="200"/>
        <w:rPr>
          <w:rFonts w:ascii="宋体" w:hAnsi="宋体"/>
          <w:sz w:val="28"/>
          <w:szCs w:val="28"/>
        </w:rPr>
      </w:pPr>
      <w:r>
        <w:rPr>
          <w:rFonts w:hint="eastAsia" w:ascii="宋体" w:hAnsi="宋体"/>
          <w:sz w:val="28"/>
          <w:szCs w:val="28"/>
        </w:rPr>
        <w:t>1、采用国家、省、市等标准图集中标准样式的预制构件，所选种类的预制构件应用数量不低于同类构件的</w:t>
      </w:r>
      <w:r>
        <w:rPr>
          <w:rFonts w:ascii="宋体" w:hAnsi="宋体"/>
          <w:sz w:val="28"/>
          <w:szCs w:val="28"/>
        </w:rPr>
        <w:t>50%</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2、满足以下任意三项技术要求时：</w:t>
      </w:r>
    </w:p>
    <w:p>
      <w:pPr>
        <w:spacing w:line="360" w:lineRule="auto"/>
        <w:ind w:firstLine="560" w:firstLineChars="200"/>
        <w:rPr>
          <w:rFonts w:ascii="宋体" w:hAnsi="宋体"/>
          <w:sz w:val="28"/>
          <w:szCs w:val="28"/>
        </w:rPr>
      </w:pPr>
      <w:r>
        <w:rPr>
          <w:rFonts w:ascii="宋体" w:hAnsi="宋体"/>
          <w:sz w:val="28"/>
          <w:szCs w:val="28"/>
        </w:rPr>
        <w:t>1</w:t>
      </w:r>
      <w:r>
        <w:rPr>
          <w:rFonts w:hint="eastAsia" w:ascii="宋体" w:hAnsi="宋体"/>
          <w:sz w:val="28"/>
          <w:szCs w:val="28"/>
        </w:rPr>
        <w:t>）外窗宽度为扩大模数3</w:t>
      </w:r>
      <w:r>
        <w:rPr>
          <w:rFonts w:ascii="宋体" w:hAnsi="宋体"/>
          <w:sz w:val="28"/>
          <w:szCs w:val="28"/>
        </w:rPr>
        <w:t>M</w:t>
      </w:r>
      <w:r>
        <w:rPr>
          <w:rFonts w:hint="eastAsia" w:ascii="宋体" w:hAnsi="宋体"/>
          <w:sz w:val="28"/>
          <w:szCs w:val="28"/>
        </w:rPr>
        <w:t>的整数倍，高度为基本模数的整数倍，该类外窗占外窗总数量的比例不低于</w:t>
      </w:r>
      <w:r>
        <w:rPr>
          <w:rFonts w:ascii="宋体" w:hAnsi="宋体"/>
          <w:sz w:val="28"/>
          <w:szCs w:val="28"/>
        </w:rPr>
        <w:t>50%</w:t>
      </w:r>
      <w:r>
        <w:rPr>
          <w:rFonts w:hint="eastAsia" w:ascii="宋体" w:hAnsi="宋体"/>
          <w:sz w:val="28"/>
          <w:szCs w:val="28"/>
        </w:rPr>
        <w:t>；</w:t>
      </w:r>
    </w:p>
    <w:p>
      <w:pPr>
        <w:spacing w:line="360" w:lineRule="auto"/>
        <w:ind w:firstLine="560" w:firstLineChars="200"/>
        <w:rPr>
          <w:rFonts w:ascii="宋体" w:hAnsi="宋体"/>
          <w:sz w:val="28"/>
          <w:szCs w:val="28"/>
        </w:rPr>
      </w:pPr>
      <w:r>
        <w:rPr>
          <w:rFonts w:ascii="宋体" w:hAnsi="宋体"/>
          <w:sz w:val="28"/>
          <w:szCs w:val="28"/>
        </w:rPr>
        <w:t>2</w:t>
      </w:r>
      <w:r>
        <w:rPr>
          <w:rFonts w:hint="eastAsia" w:ascii="宋体" w:hAnsi="宋体"/>
          <w:sz w:val="28"/>
          <w:szCs w:val="28"/>
        </w:rPr>
        <w:t>）预制凸窗在评价单元中重复使用量最多的三个规格构件的总个数占预制凸窗总数量的比例不低于50%；</w:t>
      </w:r>
    </w:p>
    <w:p>
      <w:pPr>
        <w:spacing w:line="360" w:lineRule="auto"/>
        <w:ind w:firstLine="560" w:firstLineChars="200"/>
        <w:rPr>
          <w:rFonts w:ascii="宋体" w:hAnsi="宋体"/>
          <w:sz w:val="28"/>
          <w:szCs w:val="28"/>
        </w:rPr>
      </w:pPr>
      <w:r>
        <w:rPr>
          <w:rFonts w:ascii="宋体" w:hAnsi="宋体"/>
          <w:sz w:val="28"/>
          <w:szCs w:val="28"/>
        </w:rPr>
        <w:t>3</w:t>
      </w:r>
      <w:r>
        <w:rPr>
          <w:rFonts w:hint="eastAsia" w:ascii="宋体" w:hAnsi="宋体"/>
          <w:sz w:val="28"/>
          <w:szCs w:val="28"/>
        </w:rPr>
        <w:t>）预制楼梯在评价单元中重复使用量最多的一个规格构件（公共建筑为两个规格构件）的总个数占预制楼梯总数的比例不低于5</w:t>
      </w:r>
      <w:r>
        <w:rPr>
          <w:rFonts w:ascii="宋体" w:hAnsi="宋体"/>
          <w:sz w:val="28"/>
          <w:szCs w:val="28"/>
        </w:rPr>
        <w:t>0%</w:t>
      </w:r>
      <w:r>
        <w:rPr>
          <w:rFonts w:hint="eastAsia" w:ascii="宋体" w:hAnsi="宋体"/>
          <w:sz w:val="28"/>
          <w:szCs w:val="28"/>
        </w:rPr>
        <w:t>；</w:t>
      </w:r>
    </w:p>
    <w:p>
      <w:pPr>
        <w:spacing w:line="360" w:lineRule="auto"/>
        <w:ind w:firstLine="560" w:firstLineChars="200"/>
        <w:rPr>
          <w:rFonts w:ascii="宋体" w:hAnsi="宋体"/>
          <w:sz w:val="28"/>
          <w:szCs w:val="28"/>
        </w:rPr>
      </w:pPr>
      <w:r>
        <w:rPr>
          <w:rFonts w:ascii="宋体" w:hAnsi="宋体"/>
          <w:sz w:val="28"/>
          <w:szCs w:val="28"/>
        </w:rPr>
        <w:t>4</w:t>
      </w:r>
      <w:r>
        <w:rPr>
          <w:rFonts w:hint="eastAsia" w:ascii="宋体" w:hAnsi="宋体"/>
          <w:sz w:val="28"/>
          <w:szCs w:val="28"/>
        </w:rPr>
        <w:t>）预制阳台板在评价单元中重复使用量最多的两个规格构件的总个数占预制阳台板总数量的比例不低于50%；</w:t>
      </w:r>
    </w:p>
    <w:p>
      <w:pPr>
        <w:spacing w:line="360" w:lineRule="auto"/>
        <w:ind w:firstLine="560" w:firstLineChars="200"/>
        <w:rPr>
          <w:rFonts w:ascii="宋体" w:hAnsi="宋体"/>
          <w:sz w:val="28"/>
          <w:szCs w:val="28"/>
        </w:rPr>
      </w:pPr>
      <w:r>
        <w:rPr>
          <w:rFonts w:ascii="宋体" w:hAnsi="宋体"/>
          <w:sz w:val="28"/>
          <w:szCs w:val="28"/>
        </w:rPr>
        <w:t>5</w:t>
      </w:r>
      <w:r>
        <w:rPr>
          <w:rFonts w:hint="eastAsia" w:ascii="宋体" w:hAnsi="宋体"/>
          <w:sz w:val="28"/>
          <w:szCs w:val="28"/>
        </w:rPr>
        <w:t>)预制楼(屋)面板采用住房和城乡建设部编制的《装配式混凝土结构住宅主要构件尺寸指南》（或地方编制</w:t>
      </w:r>
      <w:r>
        <w:rPr>
          <w:rFonts w:ascii="宋体" w:hAnsi="宋体"/>
          <w:sz w:val="28"/>
          <w:szCs w:val="28"/>
        </w:rPr>
        <w:t>的类似</w:t>
      </w:r>
      <w:r>
        <w:rPr>
          <w:rFonts w:hint="eastAsia" w:ascii="宋体" w:hAnsi="宋体"/>
          <w:sz w:val="28"/>
          <w:szCs w:val="28"/>
        </w:rPr>
        <w:t>指南</w:t>
      </w:r>
      <w:r>
        <w:rPr>
          <w:rFonts w:ascii="宋体" w:hAnsi="宋体"/>
          <w:sz w:val="28"/>
          <w:szCs w:val="28"/>
        </w:rPr>
        <w:t>或</w:t>
      </w:r>
      <w:r>
        <w:rPr>
          <w:rFonts w:hint="eastAsia" w:ascii="宋体" w:hAnsi="宋体"/>
          <w:sz w:val="28"/>
          <w:szCs w:val="28"/>
        </w:rPr>
        <w:t>规定）的标准板宽构件的总面积占预制楼(屋)面板总面积的比例不低于</w:t>
      </w:r>
      <w:r>
        <w:rPr>
          <w:rFonts w:ascii="宋体" w:hAnsi="宋体"/>
          <w:sz w:val="28"/>
          <w:szCs w:val="28"/>
        </w:rPr>
        <w:t>7</w:t>
      </w:r>
      <w:r>
        <w:rPr>
          <w:rFonts w:hint="eastAsia" w:ascii="宋体" w:hAnsi="宋体"/>
          <w:sz w:val="28"/>
          <w:szCs w:val="28"/>
        </w:rPr>
        <w:t>0</w:t>
      </w:r>
      <w:r>
        <w:rPr>
          <w:rFonts w:ascii="宋体" w:hAnsi="宋体"/>
          <w:sz w:val="28"/>
          <w:szCs w:val="28"/>
        </w:rPr>
        <w:t>%</w:t>
      </w:r>
      <w:r>
        <w:rPr>
          <w:rFonts w:hint="eastAsia" w:ascii="宋体" w:hAnsi="宋体"/>
          <w:sz w:val="28"/>
          <w:szCs w:val="28"/>
        </w:rPr>
        <w:t>，或预制楼(屋)面板在评价单元中重复使用量最多的三个规格构件的总面积占预制楼(屋)面板总面积的比例不低于</w:t>
      </w:r>
      <w:r>
        <w:rPr>
          <w:rFonts w:ascii="宋体" w:hAnsi="宋体"/>
          <w:sz w:val="28"/>
          <w:szCs w:val="28"/>
        </w:rPr>
        <w:t>5</w:t>
      </w:r>
      <w:r>
        <w:rPr>
          <w:rFonts w:hint="eastAsia" w:ascii="宋体" w:hAnsi="宋体"/>
          <w:sz w:val="28"/>
          <w:szCs w:val="28"/>
        </w:rPr>
        <w:t>0%（住宅不低于</w:t>
      </w:r>
      <w:r>
        <w:rPr>
          <w:rFonts w:ascii="宋体" w:hAnsi="宋体"/>
          <w:sz w:val="28"/>
          <w:szCs w:val="28"/>
        </w:rPr>
        <w:t>3</w:t>
      </w:r>
      <w:r>
        <w:rPr>
          <w:rFonts w:hint="eastAsia" w:ascii="宋体" w:hAnsi="宋体"/>
          <w:sz w:val="28"/>
          <w:szCs w:val="28"/>
        </w:rPr>
        <w:t>0%）；</w:t>
      </w:r>
    </w:p>
    <w:p>
      <w:pPr>
        <w:spacing w:line="360" w:lineRule="auto"/>
        <w:ind w:firstLine="560" w:firstLineChars="200"/>
        <w:rPr>
          <w:rFonts w:ascii="宋体" w:hAnsi="宋体"/>
          <w:sz w:val="28"/>
          <w:szCs w:val="28"/>
        </w:rPr>
      </w:pPr>
      <w:r>
        <w:rPr>
          <w:rFonts w:ascii="宋体" w:hAnsi="宋体"/>
          <w:sz w:val="28"/>
          <w:szCs w:val="28"/>
        </w:rPr>
        <w:t>6</w:t>
      </w:r>
      <w:r>
        <w:rPr>
          <w:rFonts w:hint="eastAsia" w:ascii="宋体" w:hAnsi="宋体"/>
          <w:sz w:val="28"/>
          <w:szCs w:val="28"/>
        </w:rPr>
        <w:t>)预制梁在评价单元中重复使用量最多的三个规格构件的总个数占预制梁构件总数的比例不低于50%（住宅不低于</w:t>
      </w:r>
      <w:r>
        <w:rPr>
          <w:rFonts w:ascii="宋体" w:hAnsi="宋体"/>
          <w:sz w:val="28"/>
          <w:szCs w:val="28"/>
        </w:rPr>
        <w:t>3</w:t>
      </w:r>
      <w:r>
        <w:rPr>
          <w:rFonts w:hint="eastAsia" w:ascii="宋体" w:hAnsi="宋体"/>
          <w:sz w:val="28"/>
          <w:szCs w:val="28"/>
        </w:rPr>
        <w:t>0%）；</w:t>
      </w:r>
    </w:p>
    <w:p>
      <w:pPr>
        <w:spacing w:line="360" w:lineRule="auto"/>
        <w:ind w:firstLine="560" w:firstLineChars="200"/>
        <w:rPr>
          <w:rFonts w:ascii="宋体" w:hAnsi="宋体"/>
          <w:sz w:val="28"/>
          <w:szCs w:val="28"/>
        </w:rPr>
      </w:pPr>
      <w:r>
        <w:rPr>
          <w:rFonts w:ascii="宋体" w:hAnsi="宋体"/>
          <w:sz w:val="28"/>
          <w:szCs w:val="28"/>
        </w:rPr>
        <w:t>7</w:t>
      </w:r>
      <w:r>
        <w:rPr>
          <w:rFonts w:hint="eastAsia" w:ascii="宋体" w:hAnsi="宋体"/>
          <w:sz w:val="28"/>
          <w:szCs w:val="28"/>
        </w:rPr>
        <w:t>)预制柱或预制承重墙体在评价单元中重复使用量最多的三个规格构件的总个数占同类预制构件总数的比例不低于50%（住宅不低于</w:t>
      </w:r>
      <w:r>
        <w:rPr>
          <w:rFonts w:ascii="宋体" w:hAnsi="宋体"/>
          <w:sz w:val="28"/>
          <w:szCs w:val="28"/>
        </w:rPr>
        <w:t>3</w:t>
      </w:r>
      <w:r>
        <w:rPr>
          <w:rFonts w:hint="eastAsia" w:ascii="宋体" w:hAnsi="宋体"/>
          <w:sz w:val="28"/>
          <w:szCs w:val="28"/>
        </w:rPr>
        <w:t>0%）；</w:t>
      </w:r>
    </w:p>
    <w:p>
      <w:pPr>
        <w:spacing w:line="360" w:lineRule="auto"/>
        <w:ind w:firstLine="560" w:firstLineChars="200"/>
        <w:rPr>
          <w:rFonts w:ascii="宋体" w:hAnsi="宋体"/>
          <w:sz w:val="28"/>
          <w:szCs w:val="28"/>
        </w:rPr>
      </w:pPr>
      <w:r>
        <w:rPr>
          <w:rFonts w:ascii="宋体" w:hAnsi="宋体"/>
          <w:sz w:val="28"/>
          <w:szCs w:val="28"/>
        </w:rPr>
        <w:t>8</w:t>
      </w:r>
      <w:r>
        <w:rPr>
          <w:rFonts w:hint="eastAsia" w:ascii="宋体" w:hAnsi="宋体"/>
          <w:sz w:val="28"/>
          <w:szCs w:val="28"/>
        </w:rPr>
        <w:t>)整间式预制外墙板、单元式幕墙在评价单元中重复使用量最多的三个规格构件的总个数占同类预制构件总数的比例不低于50%（住宅不低于</w:t>
      </w:r>
      <w:r>
        <w:rPr>
          <w:rFonts w:ascii="宋体" w:hAnsi="宋体"/>
          <w:sz w:val="28"/>
          <w:szCs w:val="28"/>
        </w:rPr>
        <w:t>3</w:t>
      </w:r>
      <w:r>
        <w:rPr>
          <w:rFonts w:hint="eastAsia" w:ascii="宋体" w:hAnsi="宋体"/>
          <w:sz w:val="28"/>
          <w:szCs w:val="28"/>
        </w:rPr>
        <w:t>0%）。</w:t>
      </w:r>
    </w:p>
    <w:p>
      <w:pPr>
        <w:spacing w:line="360" w:lineRule="auto"/>
        <w:rPr>
          <w:rFonts w:ascii="宋体" w:hAnsi="宋体"/>
          <w:sz w:val="28"/>
          <w:szCs w:val="28"/>
        </w:rPr>
      </w:pPr>
      <w:r>
        <w:rPr>
          <w:rFonts w:hint="eastAsia" w:ascii="宋体" w:hAnsi="宋体"/>
          <w:b/>
          <w:sz w:val="28"/>
          <w:szCs w:val="28"/>
        </w:rPr>
        <w:t>4</w:t>
      </w:r>
      <w:r>
        <w:rPr>
          <w:rFonts w:ascii="宋体" w:hAnsi="宋体"/>
          <w:b/>
          <w:sz w:val="28"/>
          <w:szCs w:val="28"/>
        </w:rPr>
        <w:t>.6.4</w:t>
      </w:r>
      <w:r>
        <w:rPr>
          <w:rFonts w:ascii="宋体" w:hAnsi="宋体"/>
          <w:sz w:val="28"/>
          <w:szCs w:val="28"/>
        </w:rPr>
        <w:tab/>
      </w:r>
      <w:r>
        <w:rPr>
          <w:rFonts w:hint="eastAsia" w:ascii="宋体" w:hAnsi="宋体"/>
          <w:sz w:val="28"/>
          <w:szCs w:val="28"/>
        </w:rPr>
        <w:t>预制构件的连接节点部位应满足安全、经济、方便施工的要求，当构件连接节点标准化设计满足《装配式混凝土建筑技术标准》G</w:t>
      </w:r>
      <w:r>
        <w:rPr>
          <w:rFonts w:ascii="宋体" w:hAnsi="宋体"/>
          <w:sz w:val="28"/>
          <w:szCs w:val="28"/>
        </w:rPr>
        <w:t>B/T</w:t>
      </w:r>
      <w:r>
        <w:rPr>
          <w:rFonts w:hint="eastAsia" w:ascii="宋体" w:hAnsi="宋体"/>
          <w:sz w:val="28"/>
          <w:szCs w:val="28"/>
          <w:lang w:val="en-US" w:eastAsia="zh-CN"/>
        </w:rPr>
        <w:t xml:space="preserve"> </w:t>
      </w:r>
      <w:r>
        <w:rPr>
          <w:rFonts w:ascii="宋体" w:hAnsi="宋体"/>
          <w:sz w:val="28"/>
          <w:szCs w:val="28"/>
        </w:rPr>
        <w:t>51231</w:t>
      </w:r>
      <w:r>
        <w:rPr>
          <w:rFonts w:hint="eastAsia" w:ascii="宋体" w:hAnsi="宋体"/>
          <w:sz w:val="28"/>
          <w:szCs w:val="28"/>
        </w:rPr>
        <w:t>与《装配式混凝土建筑结构技术规程》</w:t>
      </w:r>
      <w:r>
        <w:rPr>
          <w:rFonts w:ascii="宋体" w:hAnsi="宋体"/>
          <w:sz w:val="28"/>
          <w:szCs w:val="28"/>
        </w:rPr>
        <w:t>DBJ 15-107</w:t>
      </w:r>
      <w:r>
        <w:rPr>
          <w:rFonts w:hint="eastAsia" w:ascii="宋体" w:hAnsi="宋体"/>
          <w:sz w:val="28"/>
          <w:szCs w:val="28"/>
        </w:rPr>
        <w:t>规定，或采用国家、省、市装配式建筑标准图集节点大样，该评价分值为</w:t>
      </w:r>
      <w:r>
        <w:rPr>
          <w:rFonts w:ascii="宋体" w:hAnsi="宋体"/>
          <w:sz w:val="28"/>
          <w:szCs w:val="28"/>
        </w:rPr>
        <w:t>0.5</w:t>
      </w:r>
      <w:r>
        <w:rPr>
          <w:rFonts w:hint="eastAsia" w:ascii="宋体" w:hAnsi="宋体"/>
          <w:sz w:val="28"/>
          <w:szCs w:val="28"/>
        </w:rPr>
        <w:t>分。</w:t>
      </w:r>
    </w:p>
    <w:p>
      <w:pPr>
        <w:spacing w:line="360" w:lineRule="auto"/>
        <w:rPr>
          <w:rFonts w:ascii="宋体" w:hAnsi="宋体"/>
          <w:sz w:val="28"/>
          <w:szCs w:val="28"/>
        </w:rPr>
      </w:pPr>
      <w:r>
        <w:rPr>
          <w:rFonts w:ascii="宋体" w:hAnsi="宋体"/>
          <w:b/>
          <w:sz w:val="28"/>
          <w:szCs w:val="28"/>
        </w:rPr>
        <w:t>4.6.5</w:t>
      </w:r>
      <w:r>
        <w:rPr>
          <w:rFonts w:ascii="宋体" w:hAnsi="宋体"/>
          <w:sz w:val="28"/>
          <w:szCs w:val="28"/>
        </w:rPr>
        <w:tab/>
      </w:r>
      <w:r>
        <w:rPr>
          <w:rFonts w:hint="eastAsia" w:ascii="宋体" w:hAnsi="宋体"/>
          <w:sz w:val="28"/>
          <w:szCs w:val="28"/>
        </w:rPr>
        <w:t>装配式建筑宜满足国家标准《绿色建筑评价标准》G</w:t>
      </w:r>
      <w:r>
        <w:rPr>
          <w:rFonts w:ascii="宋体" w:hAnsi="宋体"/>
          <w:sz w:val="28"/>
          <w:szCs w:val="28"/>
        </w:rPr>
        <w:t>B/T 50378</w:t>
      </w:r>
      <w:r>
        <w:rPr>
          <w:rFonts w:hint="eastAsia" w:ascii="宋体" w:hAnsi="宋体"/>
          <w:sz w:val="28"/>
          <w:szCs w:val="28"/>
        </w:rPr>
        <w:t>或广东省《绿色建筑评价标准》D</w:t>
      </w:r>
      <w:r>
        <w:rPr>
          <w:rFonts w:ascii="宋体" w:hAnsi="宋体"/>
          <w:sz w:val="28"/>
          <w:szCs w:val="28"/>
        </w:rPr>
        <w:t>BJ/T 15-83</w:t>
      </w:r>
      <w:r>
        <w:rPr>
          <w:rFonts w:hint="eastAsia" w:ascii="宋体" w:hAnsi="宋体"/>
          <w:sz w:val="28"/>
          <w:szCs w:val="28"/>
        </w:rPr>
        <w:t>的相关要求；绿色建筑设计预评价取得</w:t>
      </w:r>
      <w:r>
        <w:rPr>
          <w:rFonts w:hint="eastAsia" w:ascii="宋体" w:hAnsi="宋体"/>
          <w:sz w:val="28"/>
          <w:szCs w:val="28"/>
          <w:lang w:val="en-US" w:eastAsia="zh-CN"/>
        </w:rPr>
        <w:t>一</w:t>
      </w:r>
      <w:r>
        <w:rPr>
          <w:rFonts w:hint="eastAsia" w:ascii="宋体" w:hAnsi="宋体"/>
          <w:sz w:val="28"/>
          <w:szCs w:val="28"/>
        </w:rPr>
        <w:t>星、</w:t>
      </w:r>
      <w:r>
        <w:rPr>
          <w:rFonts w:hint="eastAsia" w:ascii="宋体" w:hAnsi="宋体"/>
          <w:sz w:val="28"/>
          <w:szCs w:val="28"/>
          <w:lang w:val="en-US" w:eastAsia="zh-CN"/>
        </w:rPr>
        <w:t>二</w:t>
      </w:r>
      <w:r>
        <w:rPr>
          <w:rFonts w:hint="eastAsia" w:ascii="宋体" w:hAnsi="宋体"/>
          <w:sz w:val="28"/>
          <w:szCs w:val="28"/>
        </w:rPr>
        <w:t>星、</w:t>
      </w:r>
      <w:r>
        <w:rPr>
          <w:rFonts w:hint="eastAsia" w:ascii="宋体" w:hAnsi="宋体"/>
          <w:sz w:val="28"/>
          <w:szCs w:val="28"/>
          <w:lang w:val="en-US" w:eastAsia="zh-CN"/>
        </w:rPr>
        <w:t>三</w:t>
      </w:r>
      <w:r>
        <w:rPr>
          <w:rFonts w:hint="eastAsia" w:ascii="宋体" w:hAnsi="宋体"/>
          <w:sz w:val="28"/>
          <w:szCs w:val="28"/>
        </w:rPr>
        <w:t>星的，在装配式建筑项目评价时该评价项分别得</w:t>
      </w:r>
      <w:r>
        <w:rPr>
          <w:rFonts w:ascii="宋体" w:hAnsi="宋体"/>
          <w:sz w:val="28"/>
          <w:szCs w:val="28"/>
        </w:rPr>
        <w:t>0.5</w:t>
      </w:r>
      <w:r>
        <w:rPr>
          <w:rFonts w:hint="eastAsia" w:ascii="宋体" w:hAnsi="宋体"/>
          <w:sz w:val="28"/>
          <w:szCs w:val="28"/>
        </w:rPr>
        <w:t>分、</w:t>
      </w:r>
      <w:r>
        <w:rPr>
          <w:rFonts w:ascii="宋体" w:hAnsi="宋体"/>
          <w:sz w:val="28"/>
          <w:szCs w:val="28"/>
        </w:rPr>
        <w:t>1</w:t>
      </w:r>
      <w:r>
        <w:rPr>
          <w:rFonts w:hint="eastAsia" w:ascii="宋体" w:hAnsi="宋体"/>
          <w:sz w:val="28"/>
          <w:szCs w:val="28"/>
        </w:rPr>
        <w:t>分、</w:t>
      </w:r>
      <w:r>
        <w:rPr>
          <w:rFonts w:ascii="宋体" w:hAnsi="宋体"/>
          <w:sz w:val="28"/>
          <w:szCs w:val="28"/>
        </w:rPr>
        <w:t>1.5</w:t>
      </w:r>
      <w:r>
        <w:rPr>
          <w:rFonts w:hint="eastAsia" w:ascii="宋体" w:hAnsi="宋体"/>
          <w:sz w:val="28"/>
          <w:szCs w:val="28"/>
        </w:rPr>
        <w:t>分。</w:t>
      </w:r>
    </w:p>
    <w:p>
      <w:pPr>
        <w:widowControl/>
        <w:jc w:val="left"/>
        <w:rPr>
          <w:rFonts w:ascii="宋体" w:hAnsi="宋体"/>
          <w:b/>
          <w:sz w:val="28"/>
          <w:szCs w:val="28"/>
        </w:rPr>
      </w:pPr>
      <w:r>
        <w:rPr>
          <w:rFonts w:ascii="宋体" w:hAnsi="宋体"/>
          <w:b/>
        </w:rPr>
        <w:br w:type="page"/>
      </w:r>
    </w:p>
    <w:p>
      <w:pPr>
        <w:pStyle w:val="24"/>
        <w:rPr>
          <w:rFonts w:hint="eastAsia" w:ascii="宋体" w:hAnsi="宋体"/>
          <w:lang w:eastAsia="zh-CN"/>
        </w:rPr>
      </w:pPr>
      <w:r>
        <w:rPr>
          <w:rFonts w:hint="eastAsia" w:ascii="宋体" w:hAnsi="宋体"/>
          <w:b/>
        </w:rPr>
        <w:t>4.</w:t>
      </w:r>
      <w:r>
        <w:rPr>
          <w:rFonts w:ascii="宋体" w:hAnsi="宋体"/>
          <w:b/>
        </w:rPr>
        <w:t>6</w:t>
      </w:r>
      <w:r>
        <w:rPr>
          <w:rFonts w:hint="eastAsia" w:ascii="宋体" w:hAnsi="宋体"/>
          <w:b/>
        </w:rPr>
        <w:t>.</w:t>
      </w:r>
      <w:r>
        <w:rPr>
          <w:rFonts w:ascii="宋体" w:hAnsi="宋体"/>
          <w:b/>
        </w:rPr>
        <w:t>6</w:t>
      </w:r>
      <w:r>
        <w:rPr>
          <w:rFonts w:ascii="宋体" w:hAnsi="宋体"/>
        </w:rPr>
        <w:tab/>
      </w:r>
      <w:r>
        <w:rPr>
          <w:rFonts w:hint="eastAsia" w:ascii="宋体" w:hAnsi="宋体"/>
        </w:rPr>
        <w:t>选用绿色建材时应符合《佛山市绿色建材试点项目应用绿色建材技术指引》的要求</w:t>
      </w:r>
      <w:r>
        <w:rPr>
          <w:rFonts w:hint="eastAsia" w:ascii="宋体" w:hAnsi="宋体"/>
          <w:lang w:eastAsia="zh-CN"/>
        </w:rPr>
        <w:t>；该评价项应符合以下规则：</w:t>
      </w:r>
    </w:p>
    <w:p>
      <w:pPr>
        <w:pStyle w:val="24"/>
        <w:ind w:firstLine="560" w:firstLineChars="200"/>
        <w:rPr>
          <w:rFonts w:ascii="宋体" w:hAnsi="宋体"/>
        </w:rPr>
      </w:pPr>
      <w:r>
        <w:rPr>
          <w:rFonts w:ascii="宋体" w:hAnsi="宋体"/>
        </w:rPr>
        <w:t>1</w:t>
      </w:r>
      <w:r>
        <w:rPr>
          <w:rFonts w:hint="eastAsia" w:ascii="宋体" w:hAnsi="宋体"/>
        </w:rPr>
        <w:t>、至少选用必选绿色建材中的</w:t>
      </w:r>
      <w:r>
        <w:rPr>
          <w:rFonts w:ascii="宋体" w:hAnsi="宋体"/>
        </w:rPr>
        <w:t>7</w:t>
      </w:r>
      <w:r>
        <w:rPr>
          <w:rFonts w:hint="eastAsia" w:ascii="宋体" w:hAnsi="宋体"/>
        </w:rPr>
        <w:t>类+可选绿色建材中的3类，该项评价分值为</w:t>
      </w:r>
      <w:r>
        <w:rPr>
          <w:rFonts w:ascii="宋体" w:hAnsi="宋体"/>
        </w:rPr>
        <w:t>2</w:t>
      </w:r>
      <w:r>
        <w:rPr>
          <w:rFonts w:hint="eastAsia" w:ascii="宋体" w:hAnsi="宋体"/>
        </w:rPr>
        <w:t>分；</w:t>
      </w:r>
    </w:p>
    <w:p>
      <w:pPr>
        <w:pStyle w:val="24"/>
        <w:ind w:firstLine="560" w:firstLineChars="200"/>
        <w:rPr>
          <w:rFonts w:ascii="宋体" w:hAnsi="宋体"/>
        </w:rPr>
      </w:pPr>
      <w:r>
        <w:rPr>
          <w:rFonts w:ascii="宋体" w:hAnsi="宋体"/>
        </w:rPr>
        <w:tab/>
      </w:r>
      <w:r>
        <w:rPr>
          <w:rFonts w:ascii="宋体" w:hAnsi="宋体"/>
        </w:rPr>
        <w:t>2</w:t>
      </w:r>
      <w:r>
        <w:rPr>
          <w:rFonts w:hint="eastAsia" w:ascii="宋体" w:hAnsi="宋体"/>
        </w:rPr>
        <w:t>、至少选用必选绿色建材中的</w:t>
      </w:r>
      <w:r>
        <w:rPr>
          <w:rFonts w:ascii="宋体" w:hAnsi="宋体"/>
        </w:rPr>
        <w:t>10</w:t>
      </w:r>
      <w:r>
        <w:rPr>
          <w:rFonts w:hint="eastAsia" w:ascii="宋体" w:hAnsi="宋体"/>
        </w:rPr>
        <w:t>类+可选绿色建材中的3类，该项评价分值为</w:t>
      </w:r>
      <w:r>
        <w:rPr>
          <w:rFonts w:ascii="宋体" w:hAnsi="宋体"/>
        </w:rPr>
        <w:t>3</w:t>
      </w:r>
      <w:r>
        <w:rPr>
          <w:rFonts w:hint="eastAsia" w:ascii="宋体" w:hAnsi="宋体"/>
        </w:rPr>
        <w:t>分；</w:t>
      </w:r>
    </w:p>
    <w:p>
      <w:pPr>
        <w:pStyle w:val="24"/>
        <w:ind w:firstLine="560" w:firstLineChars="200"/>
        <w:rPr>
          <w:rFonts w:ascii="宋体" w:hAnsi="宋体"/>
        </w:rPr>
      </w:pPr>
      <w:r>
        <w:rPr>
          <w:rFonts w:ascii="宋体" w:hAnsi="宋体"/>
        </w:rPr>
        <w:tab/>
      </w:r>
      <w:r>
        <w:rPr>
          <w:rFonts w:ascii="宋体" w:hAnsi="宋体"/>
        </w:rPr>
        <w:t>3</w:t>
      </w:r>
      <w:r>
        <w:rPr>
          <w:rFonts w:hint="eastAsia" w:ascii="宋体" w:hAnsi="宋体"/>
        </w:rPr>
        <w:t>、至少选用必选绿色建材中的</w:t>
      </w:r>
      <w:r>
        <w:rPr>
          <w:rFonts w:ascii="宋体" w:hAnsi="宋体"/>
        </w:rPr>
        <w:t>10</w:t>
      </w:r>
      <w:r>
        <w:rPr>
          <w:rFonts w:hint="eastAsia" w:ascii="宋体" w:hAnsi="宋体"/>
        </w:rPr>
        <w:t>类+可选绿色建材中的</w:t>
      </w:r>
      <w:r>
        <w:rPr>
          <w:rFonts w:ascii="宋体" w:hAnsi="宋体"/>
        </w:rPr>
        <w:t>5</w:t>
      </w:r>
      <w:r>
        <w:rPr>
          <w:rFonts w:hint="eastAsia" w:ascii="宋体" w:hAnsi="宋体"/>
        </w:rPr>
        <w:t>类，该项评价分值为</w:t>
      </w:r>
      <w:r>
        <w:rPr>
          <w:rFonts w:ascii="宋体" w:hAnsi="宋体"/>
        </w:rPr>
        <w:t>5</w:t>
      </w:r>
      <w:r>
        <w:rPr>
          <w:rFonts w:hint="eastAsia" w:ascii="宋体" w:hAnsi="宋体"/>
        </w:rPr>
        <w:t>分；</w:t>
      </w:r>
    </w:p>
    <w:p>
      <w:pPr>
        <w:pStyle w:val="24"/>
        <w:ind w:firstLine="560" w:firstLineChars="200"/>
        <w:rPr>
          <w:rFonts w:ascii="宋体" w:hAnsi="宋体"/>
        </w:rPr>
      </w:pPr>
      <w:r>
        <w:rPr>
          <w:rFonts w:hint="eastAsia" w:ascii="宋体" w:hAnsi="宋体"/>
        </w:rPr>
        <w:t>选用</w:t>
      </w:r>
      <w:r>
        <w:rPr>
          <w:rFonts w:ascii="宋体" w:hAnsi="宋体"/>
        </w:rPr>
        <w:t>“</w:t>
      </w:r>
      <w:r>
        <w:rPr>
          <w:rFonts w:hint="eastAsia" w:ascii="宋体" w:hAnsi="宋体"/>
        </w:rPr>
        <w:t>必选</w:t>
      </w:r>
      <w:r>
        <w:rPr>
          <w:rFonts w:ascii="宋体" w:hAnsi="宋体"/>
        </w:rPr>
        <w:t>绿色建材”</w:t>
      </w:r>
      <w:r>
        <w:rPr>
          <w:rFonts w:hint="eastAsia" w:ascii="宋体" w:hAnsi="宋体"/>
        </w:rPr>
        <w:t>或</w:t>
      </w:r>
      <w:r>
        <w:rPr>
          <w:rFonts w:ascii="宋体" w:hAnsi="宋体"/>
        </w:rPr>
        <w:t>“</w:t>
      </w:r>
      <w:r>
        <w:rPr>
          <w:rFonts w:hint="eastAsia" w:ascii="宋体" w:hAnsi="宋体"/>
        </w:rPr>
        <w:t>可选</w:t>
      </w:r>
      <w:r>
        <w:rPr>
          <w:rFonts w:ascii="宋体" w:hAnsi="宋体"/>
        </w:rPr>
        <w:t>绿色建材”</w:t>
      </w:r>
      <w:r>
        <w:rPr>
          <w:rFonts w:hint="eastAsia" w:ascii="宋体" w:hAnsi="宋体"/>
        </w:rPr>
        <w:t>中的相关类别建材时，应用比例原则上应为1</w:t>
      </w:r>
      <w:r>
        <w:rPr>
          <w:rFonts w:ascii="宋体" w:hAnsi="宋体"/>
        </w:rPr>
        <w:t>00</w:t>
      </w:r>
      <w:r>
        <w:rPr>
          <w:rFonts w:hint="eastAsia" w:ascii="宋体" w:hAnsi="宋体"/>
        </w:rPr>
        <w:t>%</w:t>
      </w:r>
      <w:r>
        <w:rPr>
          <w:rFonts w:ascii="宋体" w:hAnsi="宋体"/>
        </w:rPr>
        <w:t>。</w:t>
      </w:r>
    </w:p>
    <w:p>
      <w:pPr>
        <w:pStyle w:val="24"/>
        <w:rPr>
          <w:rFonts w:ascii="宋体" w:hAnsi="宋体"/>
        </w:rPr>
      </w:pPr>
      <w:bookmarkStart w:id="18" w:name="_Hlk3188057"/>
      <w:bookmarkStart w:id="19" w:name="_Hlk2775830"/>
      <w:r>
        <w:rPr>
          <w:rFonts w:hint="eastAsia" w:ascii="宋体" w:hAnsi="宋体"/>
          <w:b/>
        </w:rPr>
        <w:t>4</w:t>
      </w:r>
      <w:r>
        <w:rPr>
          <w:rFonts w:ascii="宋体" w:hAnsi="宋体"/>
          <w:b/>
        </w:rPr>
        <w:t>.6.7</w:t>
      </w:r>
      <w:r>
        <w:rPr>
          <w:rFonts w:ascii="宋体" w:hAnsi="宋体"/>
          <w:b/>
        </w:rPr>
        <w:tab/>
      </w:r>
      <w:r>
        <w:rPr>
          <w:rFonts w:hint="eastAsia" w:ascii="宋体" w:hAnsi="宋体"/>
        </w:rPr>
        <w:t>装配式建筑在项目设计阶段时，提供的BIM资料满足施工图设计应用要求</w:t>
      </w:r>
      <w:r>
        <w:rPr>
          <w:rFonts w:ascii="宋体" w:hAnsi="宋体"/>
        </w:rPr>
        <w:t>，该</w:t>
      </w:r>
      <w:r>
        <w:rPr>
          <w:rFonts w:hint="eastAsia" w:ascii="宋体" w:hAnsi="宋体"/>
        </w:rPr>
        <w:t>评价</w:t>
      </w:r>
      <w:r>
        <w:rPr>
          <w:rFonts w:ascii="宋体" w:hAnsi="宋体"/>
        </w:rPr>
        <w:t>项得</w:t>
      </w:r>
      <w:r>
        <w:rPr>
          <w:rFonts w:hint="eastAsia" w:ascii="宋体" w:hAnsi="宋体"/>
        </w:rPr>
        <w:t>1分</w:t>
      </w:r>
      <w:r>
        <w:rPr>
          <w:rFonts w:ascii="宋体" w:hAnsi="宋体"/>
        </w:rPr>
        <w:t>；</w:t>
      </w:r>
      <w:r>
        <w:rPr>
          <w:rFonts w:hint="eastAsia" w:ascii="宋体" w:hAnsi="宋体"/>
        </w:rPr>
        <w:t>满足</w:t>
      </w:r>
      <w:r>
        <w:rPr>
          <w:rFonts w:ascii="宋体" w:hAnsi="宋体"/>
        </w:rPr>
        <w:t>深化设计</w:t>
      </w:r>
      <w:r>
        <w:rPr>
          <w:rFonts w:hint="eastAsia" w:ascii="宋体" w:hAnsi="宋体"/>
        </w:rPr>
        <w:t>应用要求，该评价项得</w:t>
      </w:r>
      <w:r>
        <w:rPr>
          <w:rFonts w:ascii="宋体" w:hAnsi="宋体"/>
        </w:rPr>
        <w:t>1.5</w:t>
      </w:r>
      <w:r>
        <w:rPr>
          <w:rFonts w:hint="eastAsia" w:ascii="宋体" w:hAnsi="宋体"/>
        </w:rPr>
        <w:t>分。</w:t>
      </w:r>
    </w:p>
    <w:bookmarkEnd w:id="18"/>
    <w:bookmarkEnd w:id="19"/>
    <w:p>
      <w:pPr>
        <w:pStyle w:val="24"/>
        <w:rPr>
          <w:rFonts w:ascii="宋体" w:hAnsi="宋体"/>
        </w:rPr>
      </w:pPr>
      <w:bookmarkStart w:id="20" w:name="_Hlk10724273"/>
      <w:r>
        <w:rPr>
          <w:rFonts w:hint="eastAsia" w:ascii="宋体" w:hAnsi="宋体"/>
          <w:b/>
        </w:rPr>
        <w:t>4</w:t>
      </w:r>
      <w:r>
        <w:rPr>
          <w:rFonts w:ascii="宋体" w:hAnsi="宋体"/>
          <w:b/>
        </w:rPr>
        <w:t>.6.8</w:t>
      </w:r>
      <w:r>
        <w:rPr>
          <w:rFonts w:ascii="宋体" w:hAnsi="宋体"/>
          <w:b/>
        </w:rPr>
        <w:tab/>
      </w:r>
      <w:bookmarkEnd w:id="20"/>
      <w:r>
        <w:rPr>
          <w:rFonts w:hint="eastAsia" w:ascii="宋体" w:hAnsi="宋体"/>
        </w:rPr>
        <w:t>装配式建筑项目</w:t>
      </w:r>
      <w:r>
        <w:rPr>
          <w:rFonts w:ascii="宋体" w:hAnsi="宋体"/>
        </w:rPr>
        <w:t>采用智能建造，</w:t>
      </w:r>
      <w:r>
        <w:rPr>
          <w:rFonts w:hint="eastAsia" w:ascii="宋体" w:hAnsi="宋体"/>
        </w:rPr>
        <w:t>得</w:t>
      </w:r>
      <w:r>
        <w:rPr>
          <w:rFonts w:hint="eastAsia" w:ascii="宋体" w:hAnsi="宋体"/>
          <w:lang w:val="en-US" w:eastAsia="zh-CN"/>
        </w:rPr>
        <w:t>2</w:t>
      </w:r>
      <w:r>
        <w:rPr>
          <w:rFonts w:ascii="宋体" w:hAnsi="宋体"/>
        </w:rPr>
        <w:t>.5</w:t>
      </w:r>
      <w:r>
        <w:rPr>
          <w:rFonts w:hint="eastAsia" w:ascii="宋体" w:hAnsi="宋体"/>
        </w:rPr>
        <w:t>分；采用</w:t>
      </w:r>
      <w:r>
        <w:rPr>
          <w:rFonts w:ascii="宋体" w:hAnsi="宋体"/>
        </w:rPr>
        <w:t>工程总承包模式</w:t>
      </w:r>
      <w:r>
        <w:rPr>
          <w:rFonts w:hint="eastAsia" w:ascii="宋体" w:hAnsi="宋体"/>
        </w:rPr>
        <w:t>建造，</w:t>
      </w:r>
      <w:r>
        <w:rPr>
          <w:rFonts w:ascii="宋体" w:hAnsi="宋体"/>
        </w:rPr>
        <w:t>得</w:t>
      </w:r>
      <w:r>
        <w:rPr>
          <w:rFonts w:hint="eastAsia" w:ascii="宋体" w:hAnsi="宋体"/>
        </w:rPr>
        <w:t>0.5分</w:t>
      </w:r>
      <w:r>
        <w:rPr>
          <w:rFonts w:ascii="宋体" w:hAnsi="宋体"/>
        </w:rPr>
        <w:t>。</w:t>
      </w:r>
    </w:p>
    <w:p>
      <w:pPr>
        <w:pStyle w:val="45"/>
        <w:spacing w:before="156" w:after="156"/>
        <w:rPr>
          <w:rFonts w:ascii="宋体" w:hAnsi="宋体"/>
          <w:szCs w:val="28"/>
        </w:rPr>
        <w:sectPr>
          <w:pgSz w:w="11906" w:h="16838"/>
          <w:pgMar w:top="1418" w:right="1418" w:bottom="1418" w:left="1418" w:header="851" w:footer="992" w:gutter="0"/>
          <w:cols w:space="720" w:num="1"/>
          <w:docGrid w:type="lines" w:linePitch="312" w:charSpace="0"/>
        </w:sectPr>
      </w:pPr>
    </w:p>
    <w:p>
      <w:pPr>
        <w:pStyle w:val="2"/>
        <w:spacing w:after="312"/>
      </w:pPr>
      <w:bookmarkStart w:id="21" w:name="_Toc477178395"/>
      <w:bookmarkStart w:id="22" w:name="_Toc17470055"/>
      <w:bookmarkStart w:id="23" w:name="_Toc133412698"/>
      <w:r>
        <w:rPr>
          <w:rFonts w:hint="eastAsia"/>
        </w:rPr>
        <w:t>5</w:t>
      </w:r>
      <w:r>
        <w:tab/>
      </w:r>
      <w:r>
        <w:rPr>
          <w:rFonts w:hint="eastAsia"/>
        </w:rPr>
        <w:t>评价等级划分</w:t>
      </w:r>
      <w:bookmarkEnd w:id="21"/>
      <w:bookmarkEnd w:id="22"/>
      <w:bookmarkEnd w:id="23"/>
    </w:p>
    <w:p>
      <w:pPr>
        <w:pStyle w:val="24"/>
        <w:rPr>
          <w:rFonts w:ascii="宋体" w:hAnsi="宋体"/>
        </w:rPr>
      </w:pPr>
      <w:r>
        <w:rPr>
          <w:rFonts w:hint="eastAsia" w:ascii="宋体" w:hAnsi="宋体"/>
          <w:b/>
        </w:rPr>
        <w:t>5.0.1</w:t>
      </w:r>
      <w:r>
        <w:rPr>
          <w:rFonts w:ascii="宋体" w:hAnsi="宋体"/>
        </w:rPr>
        <w:tab/>
      </w:r>
      <w:r>
        <w:rPr>
          <w:rFonts w:hint="eastAsia" w:ascii="宋体" w:hAnsi="宋体"/>
        </w:rPr>
        <w:t>装配式建筑评价等级应划分为基本级、A级、AA级、AAA级。当评价项目满足本指引第3.0.3条全部要求，可评价为基本级装配式建筑。基本级以上等级</w:t>
      </w:r>
      <w:r>
        <w:rPr>
          <w:rFonts w:ascii="宋体" w:hAnsi="宋体"/>
        </w:rPr>
        <w:t>评价，应</w:t>
      </w:r>
      <w:r>
        <w:rPr>
          <w:rFonts w:hint="eastAsia" w:ascii="宋体" w:hAnsi="宋体"/>
        </w:rPr>
        <w:t>按照《装配式建筑评价标准》</w:t>
      </w:r>
      <w:r>
        <w:rPr>
          <w:rFonts w:ascii="宋体" w:hAnsi="宋体"/>
        </w:rPr>
        <w:t>GB/T</w:t>
      </w:r>
      <w:r>
        <w:rPr>
          <w:rFonts w:hint="eastAsia" w:ascii="宋体" w:hAnsi="宋体"/>
          <w:lang w:val="en-US" w:eastAsia="zh-CN"/>
        </w:rPr>
        <w:t xml:space="preserve"> </w:t>
      </w:r>
      <w:r>
        <w:rPr>
          <w:rFonts w:ascii="宋体" w:hAnsi="宋体"/>
        </w:rPr>
        <w:t>51129-2017</w:t>
      </w:r>
      <w:r>
        <w:rPr>
          <w:rFonts w:hint="eastAsia" w:ascii="宋体" w:hAnsi="宋体"/>
        </w:rPr>
        <w:t>或广东省《</w:t>
      </w:r>
      <w:r>
        <w:rPr>
          <w:rFonts w:ascii="宋体" w:hAnsi="宋体"/>
        </w:rPr>
        <w:t>装配式建筑评价标准</w:t>
      </w:r>
      <w:r>
        <w:rPr>
          <w:rFonts w:hint="eastAsia" w:ascii="宋体" w:hAnsi="宋体"/>
        </w:rPr>
        <w:t>》DBJ/T</w:t>
      </w:r>
      <w:r>
        <w:rPr>
          <w:rFonts w:hint="eastAsia" w:ascii="宋体" w:hAnsi="宋体"/>
          <w:lang w:val="en-US" w:eastAsia="zh-CN"/>
        </w:rPr>
        <w:t xml:space="preserve"> </w:t>
      </w:r>
      <w:r>
        <w:rPr>
          <w:rFonts w:hint="eastAsia" w:ascii="宋体" w:hAnsi="宋体"/>
        </w:rPr>
        <w:t>15-163-2019进行评价。</w:t>
      </w:r>
    </w:p>
    <w:p>
      <w:pPr>
        <w:pStyle w:val="24"/>
        <w:sectPr>
          <w:pgSz w:w="11906" w:h="16838"/>
          <w:pgMar w:top="1440" w:right="1800" w:bottom="1440" w:left="1800" w:header="851" w:footer="992" w:gutter="0"/>
          <w:cols w:space="720" w:num="1"/>
          <w:docGrid w:type="lines" w:linePitch="312" w:charSpace="0"/>
        </w:sectPr>
      </w:pPr>
      <w:r>
        <w:rPr>
          <w:rFonts w:hint="eastAsia" w:ascii="宋体" w:hAnsi="宋体"/>
          <w:b/>
        </w:rPr>
        <w:t>5.0.2</w:t>
      </w:r>
      <w:r>
        <w:rPr>
          <w:rFonts w:ascii="宋体" w:hAnsi="宋体"/>
        </w:rPr>
        <w:tab/>
      </w:r>
      <w:r>
        <w:rPr>
          <w:rFonts w:hint="eastAsia" w:ascii="宋体" w:hAnsi="宋体"/>
        </w:rPr>
        <w:t>当建筑房屋高度超出现行装配式建筑相关规范、规程、标准的房屋最大适用高度时，在进行装配式建筑等级评价时，对主体结构竖向构件中预制部品部件的应用比例不做最低限值要求。</w:t>
      </w:r>
    </w:p>
    <w:p>
      <w:pPr>
        <w:pStyle w:val="24"/>
      </w:pPr>
    </w:p>
    <w:p>
      <w:pPr>
        <w:pStyle w:val="2"/>
        <w:spacing w:after="312"/>
        <w:rPr>
          <w:rFonts w:ascii="宋体" w:hAnsi="宋体"/>
          <w:sz w:val="28"/>
          <w:szCs w:val="28"/>
        </w:rPr>
      </w:pPr>
      <w:bookmarkStart w:id="24" w:name="_Toc133412699"/>
      <w:r>
        <w:rPr>
          <w:rFonts w:hint="eastAsia"/>
        </w:rPr>
        <w:t>用词说明</w:t>
      </w:r>
      <w:bookmarkEnd w:id="24"/>
    </w:p>
    <w:p>
      <w:pPr>
        <w:pStyle w:val="24"/>
        <w:rPr>
          <w:rFonts w:ascii="宋体" w:hAnsi="宋体"/>
        </w:rPr>
      </w:pPr>
      <w:r>
        <w:rPr>
          <w:rFonts w:hint="eastAsia" w:ascii="宋体" w:hAnsi="宋体"/>
          <w:b/>
        </w:rPr>
        <w:t>1</w:t>
      </w:r>
      <w:r>
        <w:rPr>
          <w:rFonts w:ascii="宋体" w:hAnsi="宋体"/>
        </w:rPr>
        <w:tab/>
      </w:r>
      <w:r>
        <w:rPr>
          <w:rFonts w:hint="eastAsia" w:ascii="宋体" w:hAnsi="宋体"/>
        </w:rPr>
        <w:t>为了便于在执行本指引条文时区别对待，对要求严格程度不同的用词说明如下：</w:t>
      </w:r>
    </w:p>
    <w:p>
      <w:pPr>
        <w:pStyle w:val="47"/>
        <w:ind w:left="980" w:firstLine="0" w:firstLineChars="0"/>
        <w:rPr>
          <w:rFonts w:ascii="宋体" w:hAnsi="宋体"/>
        </w:rPr>
      </w:pPr>
      <w:r>
        <w:rPr>
          <w:rFonts w:hint="eastAsia" w:ascii="宋体" w:hAnsi="宋体"/>
        </w:rPr>
        <w:t>1）表示很严格，非这样做不可的：</w:t>
      </w:r>
    </w:p>
    <w:p>
      <w:pPr>
        <w:pStyle w:val="47"/>
        <w:ind w:left="1411" w:firstLine="0" w:firstLineChars="0"/>
        <w:rPr>
          <w:rFonts w:ascii="宋体" w:hAnsi="宋体"/>
        </w:rPr>
      </w:pPr>
      <w:r>
        <w:rPr>
          <w:rFonts w:hint="eastAsia" w:ascii="宋体" w:hAnsi="宋体"/>
        </w:rPr>
        <w:t>正面词采用“必须”，反面词采用“严禁”；</w:t>
      </w:r>
    </w:p>
    <w:p>
      <w:pPr>
        <w:pStyle w:val="47"/>
        <w:ind w:left="980" w:firstLine="0" w:firstLineChars="0"/>
        <w:rPr>
          <w:rFonts w:ascii="宋体" w:hAnsi="宋体"/>
        </w:rPr>
      </w:pPr>
      <w:r>
        <w:rPr>
          <w:rFonts w:ascii="宋体" w:hAnsi="宋体"/>
        </w:rPr>
        <w:t>2</w:t>
      </w:r>
      <w:r>
        <w:rPr>
          <w:rFonts w:hint="eastAsia" w:ascii="宋体" w:hAnsi="宋体"/>
        </w:rPr>
        <w:t>）表示严格，正常情况下均应这样做的：</w:t>
      </w:r>
    </w:p>
    <w:p>
      <w:pPr>
        <w:pStyle w:val="47"/>
        <w:ind w:left="1411" w:firstLine="0" w:firstLineChars="0"/>
        <w:rPr>
          <w:rFonts w:ascii="宋体" w:hAnsi="宋体"/>
        </w:rPr>
      </w:pPr>
      <w:r>
        <w:rPr>
          <w:rFonts w:hint="eastAsia" w:ascii="宋体" w:hAnsi="宋体"/>
        </w:rPr>
        <w:t>正面词采用“应”，反面词采用“不应”或“不得”；</w:t>
      </w:r>
    </w:p>
    <w:p>
      <w:pPr>
        <w:pStyle w:val="47"/>
        <w:ind w:left="980" w:firstLine="0" w:firstLineChars="0"/>
        <w:rPr>
          <w:rFonts w:ascii="宋体" w:hAnsi="宋体"/>
        </w:rPr>
      </w:pPr>
      <w:r>
        <w:rPr>
          <w:rFonts w:ascii="宋体" w:hAnsi="宋体"/>
        </w:rPr>
        <w:t>3</w:t>
      </w:r>
      <w:r>
        <w:rPr>
          <w:rFonts w:hint="eastAsia" w:ascii="宋体" w:hAnsi="宋体"/>
        </w:rPr>
        <w:t>）表示允许稍有选择，在条件许可时首先应这样做的：</w:t>
      </w:r>
    </w:p>
    <w:p>
      <w:pPr>
        <w:pStyle w:val="47"/>
        <w:ind w:left="1411" w:firstLine="0" w:firstLineChars="0"/>
        <w:rPr>
          <w:rFonts w:ascii="宋体" w:hAnsi="宋体"/>
        </w:rPr>
      </w:pPr>
      <w:r>
        <w:rPr>
          <w:rFonts w:hint="eastAsia" w:ascii="宋体" w:hAnsi="宋体"/>
        </w:rPr>
        <w:t>正面词采用“宜”，反面词采用“不宜”；</w:t>
      </w:r>
    </w:p>
    <w:p>
      <w:pPr>
        <w:pStyle w:val="47"/>
        <w:ind w:left="980" w:firstLine="0" w:firstLineChars="0"/>
        <w:rPr>
          <w:rFonts w:ascii="宋体" w:hAnsi="宋体"/>
        </w:rPr>
      </w:pPr>
      <w:r>
        <w:rPr>
          <w:rFonts w:ascii="宋体" w:hAnsi="宋体"/>
        </w:rPr>
        <w:t>4</w:t>
      </w:r>
      <w:r>
        <w:rPr>
          <w:rFonts w:hint="eastAsia" w:ascii="宋体" w:hAnsi="宋体"/>
        </w:rPr>
        <w:t>）表示有选择，在一定条件下可以这样做的，采用“可”。</w:t>
      </w:r>
    </w:p>
    <w:p>
      <w:pPr>
        <w:pStyle w:val="24"/>
        <w:rPr>
          <w:rFonts w:ascii="宋体" w:hAnsi="宋体"/>
        </w:rPr>
        <w:sectPr>
          <w:pgSz w:w="11906" w:h="16838"/>
          <w:pgMar w:top="1440" w:right="1800" w:bottom="1440" w:left="1800" w:header="851" w:footer="992" w:gutter="0"/>
          <w:cols w:space="720" w:num="1"/>
          <w:docGrid w:type="lines" w:linePitch="312" w:charSpace="0"/>
        </w:sectPr>
      </w:pPr>
      <w:r>
        <w:rPr>
          <w:rFonts w:hint="eastAsia" w:ascii="宋体" w:hAnsi="宋体"/>
          <w:b/>
        </w:rPr>
        <w:t>2</w:t>
      </w:r>
      <w:r>
        <w:rPr>
          <w:rFonts w:ascii="宋体" w:hAnsi="宋体"/>
          <w:b/>
        </w:rPr>
        <w:tab/>
      </w:r>
      <w:r>
        <w:rPr>
          <w:rFonts w:hint="eastAsia" w:ascii="宋体" w:hAnsi="宋体"/>
        </w:rPr>
        <w:t>条文中指明应按其他有关标准执行的写法为：“应符合</w:t>
      </w:r>
      <w:r>
        <w:rPr>
          <w:rFonts w:ascii="宋体" w:hAnsi="宋体"/>
        </w:rPr>
        <w:t>·····</w:t>
      </w:r>
      <w:r>
        <w:rPr>
          <w:rFonts w:hint="eastAsia" w:ascii="宋体" w:hAnsi="宋体"/>
        </w:rPr>
        <w:t>的规定”或“应按</w:t>
      </w:r>
      <w:r>
        <w:rPr>
          <w:rFonts w:ascii="宋体" w:hAnsi="宋体"/>
        </w:rPr>
        <w:t>······</w:t>
      </w:r>
      <w:r>
        <w:rPr>
          <w:rFonts w:hint="eastAsia" w:ascii="宋体" w:hAnsi="宋体"/>
        </w:rPr>
        <w:t>执行”。</w:t>
      </w:r>
    </w:p>
    <w:p>
      <w:pPr>
        <w:pStyle w:val="2"/>
        <w:spacing w:after="312"/>
        <w:rPr>
          <w:rFonts w:ascii="宋体" w:hAnsi="宋体"/>
          <w:sz w:val="28"/>
          <w:szCs w:val="28"/>
        </w:rPr>
      </w:pPr>
      <w:bookmarkStart w:id="25" w:name="_Toc133412700"/>
      <w:r>
        <w:rPr>
          <w:rFonts w:hint="eastAsia"/>
        </w:rPr>
        <w:t>引用标准名录</w:t>
      </w:r>
      <w:bookmarkEnd w:id="25"/>
    </w:p>
    <w:p>
      <w:pPr>
        <w:pStyle w:val="24"/>
        <w:tabs>
          <w:tab w:val="left" w:pos="851"/>
        </w:tabs>
        <w:rPr>
          <w:rFonts w:ascii="宋体" w:hAnsi="宋体"/>
        </w:rPr>
      </w:pPr>
      <w:r>
        <w:rPr>
          <w:rFonts w:hint="eastAsia" w:ascii="宋体" w:hAnsi="宋体"/>
        </w:rPr>
        <w:t>1</w:t>
      </w:r>
      <w:r>
        <w:rPr>
          <w:rFonts w:ascii="宋体" w:hAnsi="宋体"/>
        </w:rPr>
        <w:tab/>
      </w:r>
      <w:r>
        <w:rPr>
          <w:rFonts w:hint="eastAsia" w:ascii="宋体" w:hAnsi="宋体"/>
        </w:rPr>
        <w:t>《建筑设计防火规范》GB 50016</w:t>
      </w:r>
    </w:p>
    <w:p>
      <w:pPr>
        <w:pStyle w:val="24"/>
        <w:tabs>
          <w:tab w:val="left" w:pos="851"/>
        </w:tabs>
        <w:rPr>
          <w:rFonts w:ascii="宋体" w:hAnsi="宋体"/>
        </w:rPr>
      </w:pPr>
      <w:r>
        <w:rPr>
          <w:rFonts w:hint="eastAsia" w:ascii="宋体" w:hAnsi="宋体"/>
        </w:rPr>
        <w:t>2</w:t>
      </w:r>
      <w:r>
        <w:rPr>
          <w:rFonts w:ascii="宋体" w:hAnsi="宋体"/>
        </w:rPr>
        <w:tab/>
      </w:r>
      <w:r>
        <w:rPr>
          <w:rFonts w:hint="eastAsia" w:ascii="宋体" w:hAnsi="宋体"/>
        </w:rPr>
        <w:t>《钢结构设计规程》DBJ 15-102</w:t>
      </w:r>
    </w:p>
    <w:p>
      <w:pPr>
        <w:pStyle w:val="24"/>
        <w:tabs>
          <w:tab w:val="left" w:pos="851"/>
        </w:tabs>
        <w:rPr>
          <w:rFonts w:ascii="宋体" w:hAnsi="宋体"/>
        </w:rPr>
      </w:pPr>
      <w:r>
        <w:rPr>
          <w:rFonts w:hint="eastAsia" w:ascii="宋体" w:hAnsi="宋体"/>
        </w:rPr>
        <w:t>3</w:t>
      </w:r>
      <w:r>
        <w:rPr>
          <w:rFonts w:ascii="宋体" w:hAnsi="宋体"/>
        </w:rPr>
        <w:tab/>
      </w:r>
      <w:r>
        <w:rPr>
          <w:rFonts w:hint="eastAsia" w:ascii="宋体" w:hAnsi="宋体"/>
        </w:rPr>
        <w:t>《高层建筑钢-混凝土混合结构技术规程》DBJ/T15-128</w:t>
      </w:r>
    </w:p>
    <w:p>
      <w:pPr>
        <w:pStyle w:val="24"/>
        <w:tabs>
          <w:tab w:val="left" w:pos="851"/>
        </w:tabs>
        <w:rPr>
          <w:rFonts w:ascii="宋体" w:hAnsi="宋体"/>
        </w:rPr>
      </w:pPr>
      <w:r>
        <w:rPr>
          <w:rFonts w:hint="eastAsia" w:ascii="宋体" w:hAnsi="宋体"/>
        </w:rPr>
        <w:t>4</w:t>
      </w:r>
      <w:r>
        <w:rPr>
          <w:rFonts w:ascii="宋体" w:hAnsi="宋体"/>
        </w:rPr>
        <w:tab/>
      </w:r>
      <w:r>
        <w:rPr>
          <w:rFonts w:hint="eastAsia" w:ascii="宋体" w:hAnsi="宋体"/>
        </w:rPr>
        <w:t>《装配式混凝土建筑技术标准》GB/T51231</w:t>
      </w:r>
    </w:p>
    <w:p>
      <w:pPr>
        <w:pStyle w:val="24"/>
        <w:tabs>
          <w:tab w:val="left" w:pos="851"/>
        </w:tabs>
        <w:rPr>
          <w:rFonts w:ascii="宋体" w:hAnsi="宋体"/>
        </w:rPr>
      </w:pPr>
      <w:r>
        <w:rPr>
          <w:rFonts w:hint="eastAsia" w:ascii="宋体" w:hAnsi="宋体"/>
        </w:rPr>
        <w:t>5</w:t>
      </w:r>
      <w:r>
        <w:rPr>
          <w:rFonts w:ascii="宋体" w:hAnsi="宋体"/>
        </w:rPr>
        <w:tab/>
      </w:r>
      <w:r>
        <w:rPr>
          <w:rFonts w:hint="eastAsia" w:ascii="宋体" w:hAnsi="宋体"/>
        </w:rPr>
        <w:t>《装配式混凝土建筑结构技术规程》</w:t>
      </w:r>
      <w:r>
        <w:rPr>
          <w:rFonts w:ascii="宋体" w:hAnsi="宋体"/>
        </w:rPr>
        <w:t>DBJ 15-107</w:t>
      </w:r>
    </w:p>
    <w:p>
      <w:pPr>
        <w:pStyle w:val="24"/>
        <w:tabs>
          <w:tab w:val="left" w:pos="851"/>
        </w:tabs>
        <w:rPr>
          <w:rFonts w:ascii="宋体" w:hAnsi="宋体"/>
        </w:rPr>
      </w:pPr>
      <w:r>
        <w:rPr>
          <w:rFonts w:hint="eastAsia" w:ascii="宋体" w:hAnsi="宋体"/>
        </w:rPr>
        <w:t>6</w:t>
      </w:r>
      <w:r>
        <w:rPr>
          <w:rFonts w:ascii="宋体" w:hAnsi="宋体"/>
        </w:rPr>
        <w:tab/>
      </w:r>
      <w:r>
        <w:rPr>
          <w:rFonts w:hint="eastAsia" w:ascii="宋体" w:hAnsi="宋体"/>
        </w:rPr>
        <w:t>《绿色建筑评价标准》GB/T 50378</w:t>
      </w:r>
    </w:p>
    <w:p>
      <w:pPr>
        <w:pStyle w:val="24"/>
        <w:tabs>
          <w:tab w:val="left" w:pos="851"/>
        </w:tabs>
        <w:rPr>
          <w:rFonts w:ascii="宋体" w:hAnsi="宋体"/>
        </w:rPr>
      </w:pPr>
      <w:r>
        <w:rPr>
          <w:rFonts w:hint="eastAsia" w:ascii="宋体" w:hAnsi="宋体"/>
        </w:rPr>
        <w:t>7</w:t>
      </w:r>
      <w:r>
        <w:rPr>
          <w:rFonts w:ascii="宋体" w:hAnsi="宋体"/>
        </w:rPr>
        <w:tab/>
      </w:r>
      <w:r>
        <w:rPr>
          <w:rFonts w:hint="eastAsia" w:ascii="宋体" w:hAnsi="宋体"/>
        </w:rPr>
        <w:t>《绿色建筑评价标准》DBJ/T 15-83</w:t>
      </w:r>
    </w:p>
    <w:p>
      <w:pPr>
        <w:pStyle w:val="24"/>
        <w:tabs>
          <w:tab w:val="left" w:pos="851"/>
        </w:tabs>
        <w:rPr>
          <w:rFonts w:ascii="宋体" w:hAnsi="宋体"/>
        </w:rPr>
      </w:pPr>
      <w:r>
        <w:rPr>
          <w:rFonts w:hint="eastAsia" w:ascii="宋体" w:hAnsi="宋体"/>
        </w:rPr>
        <w:t>8</w:t>
      </w:r>
      <w:r>
        <w:rPr>
          <w:rFonts w:ascii="宋体" w:hAnsi="宋体"/>
        </w:rPr>
        <w:tab/>
      </w:r>
      <w:r>
        <w:rPr>
          <w:rFonts w:hint="eastAsia" w:ascii="宋体" w:hAnsi="宋体"/>
        </w:rPr>
        <w:t>《建筑信息模型应用统一标准》GB/T51212</w:t>
      </w:r>
    </w:p>
    <w:p>
      <w:pPr>
        <w:pStyle w:val="24"/>
        <w:tabs>
          <w:tab w:val="left" w:pos="851"/>
        </w:tabs>
        <w:rPr>
          <w:rFonts w:ascii="宋体" w:hAnsi="宋体"/>
        </w:rPr>
      </w:pPr>
      <w:r>
        <w:rPr>
          <w:rFonts w:ascii="宋体" w:hAnsi="宋体"/>
        </w:rPr>
        <w:t>9</w:t>
      </w:r>
      <w:r>
        <w:rPr>
          <w:rFonts w:ascii="宋体" w:hAnsi="宋体"/>
        </w:rPr>
        <w:tab/>
      </w:r>
      <w:r>
        <w:rPr>
          <w:rFonts w:hint="eastAsia" w:ascii="宋体" w:hAnsi="宋体"/>
        </w:rPr>
        <w:t>《广东省建筑信息模型应用统一标准》DBJ∕T 15-142</w:t>
      </w:r>
    </w:p>
    <w:p>
      <w:pPr>
        <w:pStyle w:val="24"/>
        <w:tabs>
          <w:tab w:val="left" w:pos="851"/>
        </w:tabs>
        <w:rPr>
          <w:rFonts w:ascii="宋体" w:hAnsi="宋体"/>
        </w:rPr>
      </w:pPr>
      <w:r>
        <w:rPr>
          <w:rFonts w:hint="eastAsia" w:ascii="宋体" w:hAnsi="宋体"/>
        </w:rPr>
        <w:t>1</w:t>
      </w:r>
      <w:r>
        <w:rPr>
          <w:rFonts w:ascii="宋体" w:hAnsi="宋体"/>
        </w:rPr>
        <w:t>0</w:t>
      </w:r>
      <w:r>
        <w:rPr>
          <w:rFonts w:ascii="宋体" w:hAnsi="宋体"/>
        </w:rPr>
        <w:tab/>
      </w:r>
      <w:r>
        <w:rPr>
          <w:rFonts w:hint="eastAsia" w:ascii="宋体" w:hAnsi="宋体"/>
        </w:rPr>
        <w:t>《智能建筑设计标准》GB50314</w:t>
      </w:r>
    </w:p>
    <w:p>
      <w:pPr>
        <w:pStyle w:val="24"/>
        <w:tabs>
          <w:tab w:val="left" w:pos="851"/>
        </w:tabs>
        <w:rPr>
          <w:rFonts w:ascii="宋体" w:hAnsi="宋体"/>
        </w:rPr>
      </w:pPr>
      <w:r>
        <w:rPr>
          <w:rFonts w:hint="eastAsia" w:ascii="宋体" w:hAnsi="宋体"/>
        </w:rPr>
        <w:t>1</w:t>
      </w:r>
      <w:r>
        <w:rPr>
          <w:rFonts w:ascii="宋体" w:hAnsi="宋体"/>
        </w:rPr>
        <w:t>1</w:t>
      </w:r>
      <w:r>
        <w:rPr>
          <w:rFonts w:ascii="宋体" w:hAnsi="宋体"/>
        </w:rPr>
        <w:tab/>
      </w:r>
      <w:r>
        <w:rPr>
          <w:rFonts w:hint="eastAsia" w:ascii="宋体" w:hAnsi="宋体"/>
        </w:rPr>
        <w:t>《建筑工程绿色施工评价标准》GB/T50640</w:t>
      </w:r>
    </w:p>
    <w:p>
      <w:pPr>
        <w:pStyle w:val="24"/>
        <w:tabs>
          <w:tab w:val="left" w:pos="851"/>
        </w:tabs>
        <w:rPr>
          <w:rFonts w:ascii="宋体" w:hAnsi="宋体"/>
        </w:rPr>
      </w:pPr>
      <w:r>
        <w:rPr>
          <w:rFonts w:ascii="宋体" w:hAnsi="宋体"/>
        </w:rPr>
        <w:t>12</w:t>
      </w:r>
      <w:r>
        <w:rPr>
          <w:rFonts w:ascii="宋体" w:hAnsi="宋体"/>
        </w:rPr>
        <w:tab/>
      </w:r>
      <w:r>
        <w:rPr>
          <w:rFonts w:hint="eastAsia" w:ascii="宋体" w:hAnsi="宋体"/>
        </w:rPr>
        <w:t>《建筑工程绿色施工评价标准》DBJ/J 15-97</w:t>
      </w:r>
    </w:p>
    <w:p>
      <w:pPr>
        <w:pStyle w:val="24"/>
        <w:tabs>
          <w:tab w:val="left" w:pos="995"/>
        </w:tabs>
        <w:rPr>
          <w:rFonts w:ascii="宋体" w:hAnsi="宋体"/>
        </w:rPr>
      </w:pPr>
      <w:r>
        <w:rPr>
          <w:rFonts w:ascii="宋体" w:hAnsi="宋体"/>
        </w:rPr>
        <w:t>13</w:t>
      </w:r>
      <w:r>
        <w:rPr>
          <w:rFonts w:ascii="宋体" w:hAnsi="宋体"/>
        </w:rPr>
        <w:tab/>
      </w:r>
      <w:r>
        <w:rPr>
          <w:rFonts w:hint="eastAsia" w:ascii="宋体" w:hAnsi="宋体"/>
        </w:rPr>
        <w:t>广东省《</w:t>
      </w:r>
      <w:r>
        <w:rPr>
          <w:rFonts w:ascii="宋体" w:hAnsi="宋体"/>
        </w:rPr>
        <w:t>装配式建筑评价标准</w:t>
      </w:r>
      <w:r>
        <w:rPr>
          <w:rFonts w:hint="eastAsia" w:ascii="宋体" w:hAnsi="宋体"/>
        </w:rPr>
        <w:t>》DBJ/T 15-163-201</w:t>
      </w:r>
      <w:r>
        <w:rPr>
          <w:rFonts w:ascii="宋体" w:hAnsi="宋体"/>
        </w:rPr>
        <w:t>9</w:t>
      </w:r>
    </w:p>
    <w:p>
      <w:pPr>
        <w:widowControl/>
        <w:jc w:val="left"/>
        <w:rPr>
          <w:rFonts w:ascii="宋体" w:hAnsi="宋体"/>
          <w:sz w:val="28"/>
          <w:szCs w:val="28"/>
        </w:rPr>
      </w:pPr>
      <w:r>
        <w:rPr>
          <w:rFonts w:ascii="宋体" w:hAnsi="宋体"/>
        </w:rPr>
        <w:br w:type="page"/>
      </w:r>
    </w:p>
    <w:p>
      <w:pPr>
        <w:spacing w:line="720" w:lineRule="auto"/>
        <w:jc w:val="center"/>
        <w:rPr>
          <w:rFonts w:ascii="宋体" w:hAnsi="宋体"/>
          <w:sz w:val="36"/>
          <w:szCs w:val="36"/>
        </w:rPr>
      </w:pPr>
    </w:p>
    <w:p>
      <w:pPr>
        <w:spacing w:line="720" w:lineRule="auto"/>
        <w:jc w:val="center"/>
        <w:rPr>
          <w:rFonts w:ascii="宋体" w:hAnsi="宋体"/>
          <w:b/>
          <w:sz w:val="40"/>
          <w:szCs w:val="48"/>
        </w:rPr>
      </w:pPr>
      <w:r>
        <w:rPr>
          <w:rFonts w:hint="eastAsia" w:ascii="宋体" w:hAnsi="宋体"/>
          <w:b/>
          <w:sz w:val="48"/>
          <w:szCs w:val="48"/>
        </w:rPr>
        <w:t>广东省《装配式建筑评价标准》</w:t>
      </w:r>
    </w:p>
    <w:p>
      <w:pPr>
        <w:spacing w:line="720" w:lineRule="auto"/>
        <w:jc w:val="center"/>
        <w:rPr>
          <w:rFonts w:ascii="宋体" w:hAnsi="宋体"/>
          <w:b/>
          <w:sz w:val="48"/>
          <w:szCs w:val="48"/>
        </w:rPr>
      </w:pPr>
      <w:r>
        <w:rPr>
          <w:rFonts w:hint="eastAsia" w:ascii="宋体" w:hAnsi="宋体"/>
          <w:b/>
          <w:sz w:val="48"/>
          <w:szCs w:val="48"/>
        </w:rPr>
        <w:t>佛山补充实施指引</w:t>
      </w:r>
    </w:p>
    <w:p>
      <w:pPr>
        <w:pStyle w:val="24"/>
        <w:tabs>
          <w:tab w:val="left" w:pos="995"/>
        </w:tabs>
        <w:jc w:val="center"/>
        <w:rPr>
          <w:rFonts w:ascii="宋体" w:hAnsi="宋体"/>
          <w:b/>
        </w:rPr>
      </w:pPr>
    </w:p>
    <w:p>
      <w:pPr>
        <w:spacing w:line="720" w:lineRule="auto"/>
        <w:jc w:val="center"/>
        <w:rPr>
          <w:rFonts w:ascii="宋体" w:hAnsi="宋体"/>
          <w:sz w:val="36"/>
          <w:szCs w:val="36"/>
        </w:rPr>
      </w:pPr>
      <w:r>
        <w:rPr>
          <w:rFonts w:hint="eastAsia" w:ascii="宋体" w:hAnsi="宋体"/>
          <w:sz w:val="36"/>
          <w:szCs w:val="36"/>
        </w:rPr>
        <w:t>条文说明</w:t>
      </w:r>
    </w:p>
    <w:p>
      <w:pPr>
        <w:spacing w:line="720" w:lineRule="auto"/>
        <w:jc w:val="center"/>
        <w:rPr>
          <w:rFonts w:ascii="宋体" w:hAnsi="宋体"/>
          <w:sz w:val="36"/>
          <w:szCs w:val="36"/>
        </w:rPr>
      </w:pPr>
    </w:p>
    <w:p>
      <w:pPr>
        <w:spacing w:line="720" w:lineRule="auto"/>
        <w:jc w:val="center"/>
        <w:rPr>
          <w:rFonts w:ascii="宋体" w:hAnsi="宋体"/>
          <w:sz w:val="36"/>
          <w:szCs w:val="36"/>
        </w:rPr>
        <w:sectPr>
          <w:footerReference r:id="rId11" w:type="default"/>
          <w:pgSz w:w="11906" w:h="16838"/>
          <w:pgMar w:top="1440" w:right="1800" w:bottom="1440" w:left="1800" w:header="851" w:footer="992" w:gutter="0"/>
          <w:cols w:space="720" w:num="1"/>
          <w:docGrid w:type="lines" w:linePitch="312" w:charSpace="0"/>
        </w:sectPr>
      </w:pPr>
    </w:p>
    <w:p>
      <w:pPr>
        <w:spacing w:after="312" w:afterLines="100" w:line="360" w:lineRule="auto"/>
        <w:jc w:val="center"/>
        <w:rPr>
          <w:rFonts w:ascii="宋体" w:hAnsi="宋体"/>
          <w:b/>
          <w:sz w:val="36"/>
          <w:szCs w:val="36"/>
        </w:rPr>
      </w:pPr>
      <w:r>
        <w:rPr>
          <w:rFonts w:hint="eastAsia" w:ascii="宋体" w:hAnsi="宋体"/>
          <w:b/>
          <w:sz w:val="36"/>
          <w:szCs w:val="36"/>
        </w:rPr>
        <w:t xml:space="preserve">目 </w:t>
      </w:r>
      <w:r>
        <w:rPr>
          <w:rFonts w:ascii="宋体" w:hAnsi="宋体"/>
          <w:b/>
          <w:sz w:val="36"/>
          <w:szCs w:val="36"/>
        </w:rPr>
        <w:t xml:space="preserve"> </w:t>
      </w:r>
      <w:r>
        <w:rPr>
          <w:rFonts w:hint="eastAsia" w:ascii="宋体" w:hAnsi="宋体"/>
          <w:b/>
          <w:sz w:val="36"/>
          <w:szCs w:val="36"/>
        </w:rPr>
        <w:t>次</w:t>
      </w:r>
    </w:p>
    <w:p>
      <w:pPr>
        <w:pStyle w:val="29"/>
      </w:pPr>
      <w:r>
        <w:rPr>
          <w:rFonts w:hint="eastAsia"/>
        </w:rPr>
        <w:t>1</w:t>
      </w:r>
      <w:r>
        <w:rPr>
          <w:rFonts w:hint="eastAsia"/>
        </w:rPr>
        <w:tab/>
      </w:r>
      <w:r>
        <w:rPr>
          <w:rFonts w:hint="eastAsia"/>
        </w:rPr>
        <w:t>总  则</w:t>
      </w:r>
      <w:r>
        <w:rPr>
          <w:rFonts w:hint="eastAsia"/>
        </w:rPr>
        <w:tab/>
      </w:r>
      <w:r>
        <w:t>26</w:t>
      </w:r>
    </w:p>
    <w:p>
      <w:pPr>
        <w:pStyle w:val="29"/>
      </w:pPr>
      <w:r>
        <w:rPr>
          <w:rFonts w:hint="eastAsia"/>
        </w:rPr>
        <w:t>2</w:t>
      </w:r>
      <w:r>
        <w:rPr>
          <w:rFonts w:hint="eastAsia"/>
        </w:rPr>
        <w:tab/>
      </w:r>
      <w:r>
        <w:rPr>
          <w:rFonts w:hint="eastAsia"/>
        </w:rPr>
        <w:t>术  语</w:t>
      </w:r>
      <w:r>
        <w:rPr>
          <w:rFonts w:hint="eastAsia"/>
        </w:rPr>
        <w:tab/>
      </w:r>
      <w:r>
        <w:rPr>
          <w:rFonts w:hint="eastAsia"/>
        </w:rPr>
        <w:t>2</w:t>
      </w:r>
      <w:r>
        <w:t>7</w:t>
      </w:r>
    </w:p>
    <w:p>
      <w:pPr>
        <w:pStyle w:val="29"/>
      </w:pPr>
      <w:r>
        <w:rPr>
          <w:rFonts w:hint="eastAsia"/>
        </w:rPr>
        <w:t>3</w:t>
      </w:r>
      <w:r>
        <w:rPr>
          <w:rFonts w:hint="eastAsia"/>
        </w:rPr>
        <w:tab/>
      </w:r>
      <w:r>
        <w:rPr>
          <w:rFonts w:hint="eastAsia"/>
        </w:rPr>
        <w:t>基 本 规 定</w:t>
      </w:r>
      <w:r>
        <w:rPr>
          <w:rFonts w:hint="eastAsia"/>
        </w:rPr>
        <w:tab/>
      </w:r>
      <w:r>
        <w:t>29</w:t>
      </w:r>
    </w:p>
    <w:p>
      <w:pPr>
        <w:pStyle w:val="29"/>
      </w:pPr>
      <w:r>
        <w:rPr>
          <w:rFonts w:hint="eastAsia"/>
        </w:rPr>
        <w:t>4</w:t>
      </w:r>
      <w:r>
        <w:rPr>
          <w:rFonts w:hint="eastAsia"/>
        </w:rPr>
        <w:tab/>
      </w:r>
      <w:r>
        <w:rPr>
          <w:rFonts w:hint="eastAsia"/>
        </w:rPr>
        <w:t>装配率计算</w:t>
      </w:r>
      <w:r>
        <w:rPr>
          <w:rFonts w:hint="eastAsia"/>
        </w:rPr>
        <w:tab/>
      </w:r>
      <w:r>
        <w:t>31</w:t>
      </w:r>
    </w:p>
    <w:p>
      <w:pPr>
        <w:pStyle w:val="29"/>
        <w:tabs>
          <w:tab w:val="clear" w:pos="426"/>
        </w:tabs>
        <w:ind w:left="424" w:leftChars="202"/>
      </w:pPr>
      <w:r>
        <w:rPr>
          <w:rFonts w:hint="eastAsia"/>
        </w:rPr>
        <w:t>4.1 计算公式与评分表</w:t>
      </w:r>
      <w:r>
        <w:rPr>
          <w:rFonts w:hint="eastAsia"/>
        </w:rPr>
        <w:tab/>
      </w:r>
      <w:r>
        <w:t>31</w:t>
      </w:r>
    </w:p>
    <w:p>
      <w:pPr>
        <w:pStyle w:val="29"/>
        <w:ind w:left="424" w:leftChars="202"/>
      </w:pPr>
      <w:r>
        <w:rPr>
          <w:rFonts w:hint="eastAsia"/>
        </w:rPr>
        <w:t>4.2 主体结构</w:t>
      </w:r>
      <w:r>
        <w:rPr>
          <w:rFonts w:hint="eastAsia"/>
        </w:rPr>
        <w:tab/>
      </w:r>
      <w:r>
        <w:t>32</w:t>
      </w:r>
    </w:p>
    <w:p>
      <w:pPr>
        <w:pStyle w:val="29"/>
        <w:ind w:left="424" w:leftChars="202"/>
      </w:pPr>
      <w:r>
        <w:rPr>
          <w:rFonts w:hint="eastAsia"/>
        </w:rPr>
        <w:t>4.3 围护墙和内隔墙</w:t>
      </w:r>
      <w:r>
        <w:rPr>
          <w:rFonts w:hint="eastAsia"/>
        </w:rPr>
        <w:tab/>
      </w:r>
      <w:r>
        <w:t>33</w:t>
      </w:r>
    </w:p>
    <w:p>
      <w:pPr>
        <w:pStyle w:val="29"/>
        <w:ind w:left="424" w:leftChars="202"/>
      </w:pPr>
      <w:r>
        <w:rPr>
          <w:rFonts w:hint="eastAsia"/>
        </w:rPr>
        <w:t>4.4 装修和设备管线</w:t>
      </w:r>
      <w:r>
        <w:rPr>
          <w:rFonts w:hint="eastAsia"/>
        </w:rPr>
        <w:tab/>
      </w:r>
      <w:r>
        <w:t>34</w:t>
      </w:r>
    </w:p>
    <w:p>
      <w:pPr>
        <w:pStyle w:val="29"/>
        <w:ind w:left="424" w:leftChars="202"/>
      </w:pPr>
      <w:r>
        <w:rPr>
          <w:rFonts w:hint="eastAsia"/>
        </w:rPr>
        <w:t>4.5 细化项</w:t>
      </w:r>
      <w:r>
        <w:rPr>
          <w:rFonts w:hint="eastAsia"/>
        </w:rPr>
        <w:tab/>
      </w:r>
      <w:r>
        <w:t>36</w:t>
      </w:r>
    </w:p>
    <w:p>
      <w:pPr>
        <w:pStyle w:val="29"/>
        <w:ind w:left="424" w:leftChars="202"/>
      </w:pPr>
      <w:r>
        <w:rPr>
          <w:rFonts w:hint="eastAsia"/>
        </w:rPr>
        <w:t>4.6 鼓励项</w:t>
      </w:r>
      <w:r>
        <w:rPr>
          <w:rFonts w:hint="eastAsia"/>
        </w:rPr>
        <w:tab/>
      </w:r>
      <w:r>
        <w:t>37</w:t>
      </w:r>
    </w:p>
    <w:p>
      <w:pPr>
        <w:pStyle w:val="29"/>
      </w:pPr>
      <w:r>
        <w:rPr>
          <w:rFonts w:hint="eastAsia"/>
        </w:rPr>
        <w:t>5</w:t>
      </w:r>
      <w:r>
        <w:rPr>
          <w:rFonts w:hint="eastAsia"/>
        </w:rPr>
        <w:tab/>
      </w:r>
      <w:r>
        <w:rPr>
          <w:rFonts w:hint="eastAsia"/>
        </w:rPr>
        <w:t>评价等级划分</w:t>
      </w:r>
      <w:r>
        <w:rPr>
          <w:rFonts w:hint="eastAsia"/>
        </w:rPr>
        <w:tab/>
      </w:r>
      <w:r>
        <w:t>38</w:t>
      </w:r>
    </w:p>
    <w:p>
      <w:pPr>
        <w:spacing w:after="312" w:afterLines="100" w:line="360" w:lineRule="auto"/>
        <w:rPr>
          <w:rFonts w:ascii="宋体" w:hAnsi="宋体"/>
          <w:b/>
          <w:sz w:val="36"/>
          <w:szCs w:val="36"/>
        </w:rPr>
      </w:pPr>
    </w:p>
    <w:p>
      <w:pPr>
        <w:spacing w:line="720" w:lineRule="auto"/>
        <w:jc w:val="center"/>
        <w:rPr>
          <w:rFonts w:ascii="宋体" w:hAnsi="宋体"/>
          <w:sz w:val="36"/>
          <w:szCs w:val="36"/>
        </w:rPr>
      </w:pPr>
    </w:p>
    <w:p>
      <w:pPr>
        <w:spacing w:line="720" w:lineRule="auto"/>
        <w:jc w:val="center"/>
        <w:rPr>
          <w:rFonts w:ascii="宋体" w:hAnsi="宋体"/>
          <w:sz w:val="36"/>
          <w:szCs w:val="36"/>
        </w:rPr>
        <w:sectPr>
          <w:pgSz w:w="11906" w:h="16838"/>
          <w:pgMar w:top="1440" w:right="1800" w:bottom="1440" w:left="1800" w:header="851" w:footer="992" w:gutter="0"/>
          <w:cols w:space="720" w:num="1"/>
          <w:docGrid w:type="lines" w:linePitch="312" w:charSpace="0"/>
        </w:sectPr>
      </w:pPr>
    </w:p>
    <w:p>
      <w:pPr>
        <w:pStyle w:val="2"/>
        <w:spacing w:after="312"/>
        <w:rPr>
          <w:rFonts w:ascii="宋体" w:hAnsi="宋体"/>
        </w:rPr>
      </w:pPr>
      <w:bookmarkStart w:id="26" w:name="_Toc133412701"/>
      <w:bookmarkStart w:id="27" w:name="_Toc17470058"/>
      <w:r>
        <w:rPr>
          <w:rFonts w:hint="eastAsia" w:ascii="宋体" w:hAnsi="宋体"/>
        </w:rPr>
        <w:t>1</w:t>
      </w:r>
      <w:r>
        <w:rPr>
          <w:rFonts w:hint="eastAsia" w:ascii="宋体" w:hAnsi="宋体"/>
        </w:rPr>
        <w:tab/>
      </w:r>
      <w:r>
        <w:rPr>
          <w:rFonts w:hint="eastAsia" w:ascii="宋体" w:hAnsi="宋体"/>
        </w:rPr>
        <w:t>总  则</w:t>
      </w:r>
      <w:bookmarkEnd w:id="26"/>
      <w:bookmarkEnd w:id="27"/>
    </w:p>
    <w:p>
      <w:pPr>
        <w:pStyle w:val="24"/>
        <w:rPr>
          <w:rFonts w:ascii="宋体" w:hAnsi="宋体"/>
        </w:rPr>
      </w:pPr>
      <w:r>
        <w:rPr>
          <w:rFonts w:hint="eastAsia" w:ascii="宋体" w:hAnsi="宋体"/>
          <w:b/>
          <w:bCs/>
        </w:rPr>
        <w:t>1</w:t>
      </w:r>
      <w:r>
        <w:rPr>
          <w:rFonts w:ascii="宋体" w:hAnsi="宋体"/>
          <w:b/>
          <w:bCs/>
        </w:rPr>
        <w:t>.0.1</w:t>
      </w:r>
      <w:r>
        <w:rPr>
          <w:rFonts w:ascii="宋体" w:hAnsi="宋体"/>
        </w:rPr>
        <w:tab/>
      </w:r>
      <w:r>
        <w:rPr>
          <w:rFonts w:hint="eastAsia" w:ascii="宋体" w:hAnsi="宋体"/>
        </w:rPr>
        <w:t>根据《广东省住房和城乡建设厅等部门关于加快新型建筑工业化发展的实施意见》（粤建科〔2022〕99号）、《佛山市住房和城乡建设局关于开展推广我市装配化装修相关工作的函》及装配式建筑示范城市相关工作要求，结合我市产业特色，在广东省《装配式建筑评价标准》的基础上优化补充，研究编制符合我市发展需求的装配式</w:t>
      </w:r>
      <w:r>
        <w:rPr>
          <w:rFonts w:ascii="宋体" w:hAnsi="宋体"/>
        </w:rPr>
        <w:t>建筑</w:t>
      </w:r>
      <w:r>
        <w:rPr>
          <w:rFonts w:hint="eastAsia" w:ascii="宋体" w:hAnsi="宋体"/>
        </w:rPr>
        <w:t>评价指引。</w:t>
      </w:r>
    </w:p>
    <w:p>
      <w:pPr>
        <w:pStyle w:val="24"/>
        <w:rPr>
          <w:rFonts w:ascii="宋体" w:hAnsi="宋体"/>
        </w:rPr>
      </w:pPr>
      <w:r>
        <w:rPr>
          <w:rFonts w:hint="eastAsia" w:ascii="宋体" w:hAnsi="宋体"/>
          <w:b/>
          <w:bCs/>
        </w:rPr>
        <w:t>1</w:t>
      </w:r>
      <w:r>
        <w:rPr>
          <w:rFonts w:ascii="宋体" w:hAnsi="宋体"/>
          <w:b/>
          <w:bCs/>
        </w:rPr>
        <w:t>.0.3</w:t>
      </w:r>
      <w:r>
        <w:rPr>
          <w:rFonts w:ascii="宋体" w:hAnsi="宋体"/>
        </w:rPr>
        <w:tab/>
      </w:r>
      <w:r>
        <w:rPr>
          <w:rFonts w:hint="eastAsia" w:ascii="宋体" w:hAnsi="宋体"/>
        </w:rPr>
        <w:t>本指引与广东省《装配式建筑评价标准》并行实施，为佛山市装配式建筑参建单位提供可选择的技术方案，适用于佛山市内采用装配方式建造的建筑的装配化程度评价。</w:t>
      </w:r>
    </w:p>
    <w:p>
      <w:pPr>
        <w:pStyle w:val="24"/>
        <w:rPr>
          <w:rFonts w:ascii="宋体" w:hAnsi="宋体"/>
        </w:rPr>
      </w:pPr>
    </w:p>
    <w:p>
      <w:pPr>
        <w:pStyle w:val="24"/>
        <w:rPr>
          <w:rFonts w:ascii="宋体" w:hAnsi="宋体"/>
        </w:rPr>
        <w:sectPr>
          <w:pgSz w:w="11906" w:h="16838"/>
          <w:pgMar w:top="1440" w:right="1800" w:bottom="1440" w:left="1800" w:header="851" w:footer="992" w:gutter="0"/>
          <w:cols w:space="720" w:num="1"/>
          <w:docGrid w:type="lines" w:linePitch="312" w:charSpace="0"/>
        </w:sectPr>
      </w:pPr>
    </w:p>
    <w:p>
      <w:pPr>
        <w:pStyle w:val="2"/>
        <w:spacing w:after="312"/>
        <w:rPr>
          <w:rFonts w:ascii="宋体" w:hAnsi="宋体"/>
        </w:rPr>
      </w:pPr>
      <w:bookmarkStart w:id="28" w:name="_Toc133412702"/>
      <w:bookmarkStart w:id="29" w:name="_Toc17470059"/>
      <w:r>
        <w:rPr>
          <w:rFonts w:hint="eastAsia" w:ascii="宋体" w:hAnsi="宋体"/>
        </w:rPr>
        <w:t>2</w:t>
      </w:r>
      <w:r>
        <w:rPr>
          <w:rFonts w:hint="eastAsia" w:ascii="宋体" w:hAnsi="宋体"/>
        </w:rPr>
        <w:tab/>
      </w:r>
      <w:r>
        <w:rPr>
          <w:rFonts w:hint="eastAsia" w:ascii="宋体" w:hAnsi="宋体"/>
        </w:rPr>
        <w:t>术  语</w:t>
      </w:r>
      <w:bookmarkEnd w:id="28"/>
      <w:bookmarkEnd w:id="29"/>
    </w:p>
    <w:p>
      <w:pPr>
        <w:pStyle w:val="24"/>
        <w:rPr>
          <w:rFonts w:ascii="宋体" w:hAnsi="宋体"/>
        </w:rPr>
      </w:pPr>
      <w:r>
        <w:rPr>
          <w:rFonts w:hint="eastAsia" w:ascii="宋体" w:hAnsi="宋体"/>
          <w:b/>
          <w:bCs/>
        </w:rPr>
        <w:t>2</w:t>
      </w:r>
      <w:r>
        <w:rPr>
          <w:rFonts w:ascii="宋体" w:hAnsi="宋体"/>
          <w:b/>
          <w:bCs/>
        </w:rPr>
        <w:t>.0.1</w:t>
      </w:r>
      <w:r>
        <w:rPr>
          <w:rFonts w:ascii="宋体" w:hAnsi="宋体"/>
        </w:rPr>
        <w:tab/>
      </w:r>
      <w:r>
        <w:rPr>
          <w:rFonts w:hint="eastAsia" w:ascii="宋体" w:hAnsi="宋体"/>
        </w:rPr>
        <w:t>装配式建筑是一个系统工程，是将预制部品部件通过系统集成的方法在工地装配，实现建筑主体结构构件预制，非承重围护墙和内隔墙非砌筑并全装修的建筑。装配式建筑包括装配式混凝土建筑、装配式钢结构建筑、装配式木结构建筑及装配式混合结构建筑等。</w:t>
      </w:r>
    </w:p>
    <w:p>
      <w:pPr>
        <w:pStyle w:val="24"/>
        <w:rPr>
          <w:rFonts w:ascii="宋体" w:hAnsi="宋体"/>
        </w:rPr>
      </w:pPr>
      <w:r>
        <w:rPr>
          <w:rFonts w:hint="eastAsia" w:ascii="宋体" w:hAnsi="宋体"/>
          <w:b/>
          <w:bCs/>
          <w:iCs/>
        </w:rPr>
        <w:t>2</w:t>
      </w:r>
      <w:r>
        <w:rPr>
          <w:rFonts w:ascii="宋体" w:hAnsi="宋体"/>
          <w:b/>
          <w:bCs/>
          <w:iCs/>
        </w:rPr>
        <w:t>.0.2</w:t>
      </w:r>
      <w:r>
        <w:rPr>
          <w:rFonts w:ascii="宋体" w:hAnsi="宋体"/>
          <w:iCs/>
        </w:rPr>
        <w:tab/>
      </w:r>
      <w:r>
        <w:rPr>
          <w:rFonts w:hint="eastAsia" w:ascii="宋体" w:hAnsi="宋体"/>
        </w:rPr>
        <w:t>当地下室、半地下室参与评价时，取地下室、半地下室底板标高以上；当地下室、半地下室不参与评价时，取地下室、半地下室顶板标高以上。建筑如无地下室，取室外地坪以上。</w:t>
      </w:r>
    </w:p>
    <w:p>
      <w:pPr>
        <w:widowControl/>
        <w:jc w:val="left"/>
        <w:rPr>
          <w:rFonts w:ascii="宋体" w:hAnsi="宋体" w:cstheme="minorBidi"/>
          <w:sz w:val="28"/>
          <w:szCs w:val="28"/>
        </w:rPr>
      </w:pPr>
      <w:r>
        <w:rPr>
          <w:rFonts w:hint="eastAsia" w:ascii="宋体" w:hAnsi="宋体"/>
          <w:b/>
          <w:bCs/>
          <w:iCs/>
          <w:sz w:val="28"/>
          <w:szCs w:val="28"/>
        </w:rPr>
        <w:t xml:space="preserve">2.0.4 </w:t>
      </w:r>
      <w:r>
        <w:rPr>
          <w:rFonts w:hint="eastAsia" w:ascii="宋体" w:hAnsi="宋体" w:cstheme="minorBidi"/>
          <w:sz w:val="28"/>
          <w:szCs w:val="28"/>
        </w:rPr>
        <w:t>集成厨房多指居住建筑中的厨房，本条强调了厨房的“集成性”和“功能性”。</w:t>
      </w:r>
    </w:p>
    <w:p>
      <w:pPr>
        <w:widowControl/>
        <w:ind w:firstLine="560" w:firstLineChars="200"/>
        <w:jc w:val="left"/>
        <w:rPr>
          <w:rFonts w:ascii="宋体" w:hAnsi="宋体" w:cstheme="minorBidi"/>
          <w:sz w:val="28"/>
          <w:szCs w:val="28"/>
        </w:rPr>
      </w:pPr>
      <w:r>
        <w:rPr>
          <w:rFonts w:hint="eastAsia" w:ascii="宋体" w:hAnsi="宋体" w:cstheme="minorBidi"/>
          <w:sz w:val="28"/>
          <w:szCs w:val="28"/>
        </w:rPr>
        <w:t>集成厨房是装配式建筑装饰装修的重要组成部分，其设计应按照标准化、系列化原则，并符合干式工法施工的要求，在制作和加工阶段实现装配化。</w:t>
      </w:r>
    </w:p>
    <w:p>
      <w:pPr>
        <w:widowControl/>
        <w:ind w:firstLine="560" w:firstLineChars="200"/>
        <w:jc w:val="left"/>
        <w:rPr>
          <w:rFonts w:ascii="宋体" w:hAnsi="宋体" w:cstheme="minorBidi"/>
          <w:sz w:val="28"/>
          <w:szCs w:val="28"/>
        </w:rPr>
      </w:pPr>
      <w:r>
        <w:rPr>
          <w:rFonts w:hint="eastAsia" w:ascii="宋体" w:hAnsi="宋体" w:cstheme="minorBidi"/>
          <w:sz w:val="28"/>
          <w:szCs w:val="28"/>
        </w:rPr>
        <w:t>评价项目各楼层厨房中的橱柜、厨房设备等应全部安装到位。考虑到工程实际情况，将相关干式</w:t>
      </w:r>
      <w:r>
        <w:rPr>
          <w:rFonts w:ascii="宋体" w:hAnsi="宋体" w:cstheme="minorBidi"/>
          <w:sz w:val="28"/>
          <w:szCs w:val="28"/>
        </w:rPr>
        <w:t>工法分成了吊顶、墙面和楼地面</w:t>
      </w:r>
      <w:r>
        <w:rPr>
          <w:rFonts w:hint="eastAsia" w:ascii="宋体" w:hAnsi="宋体" w:cstheme="minorBidi"/>
          <w:sz w:val="28"/>
          <w:szCs w:val="28"/>
        </w:rPr>
        <w:t>三项</w:t>
      </w:r>
      <w:r>
        <w:rPr>
          <w:rFonts w:ascii="宋体" w:hAnsi="宋体" w:cstheme="minorBidi"/>
          <w:sz w:val="28"/>
          <w:szCs w:val="28"/>
        </w:rPr>
        <w:t>分别</w:t>
      </w:r>
      <w:r>
        <w:rPr>
          <w:rFonts w:hint="eastAsia" w:ascii="宋体" w:hAnsi="宋体" w:cstheme="minorBidi"/>
          <w:sz w:val="28"/>
          <w:szCs w:val="28"/>
        </w:rPr>
        <w:t>计分</w:t>
      </w:r>
      <w:r>
        <w:rPr>
          <w:rFonts w:ascii="宋体" w:hAnsi="宋体" w:cstheme="minorBidi"/>
          <w:sz w:val="28"/>
          <w:szCs w:val="28"/>
        </w:rPr>
        <w:t>。</w:t>
      </w:r>
    </w:p>
    <w:p>
      <w:pPr>
        <w:widowControl/>
        <w:jc w:val="left"/>
        <w:rPr>
          <w:rFonts w:ascii="宋体" w:hAnsi="宋体" w:cstheme="minorBidi"/>
          <w:sz w:val="28"/>
          <w:szCs w:val="28"/>
        </w:rPr>
      </w:pPr>
      <w:r>
        <w:rPr>
          <w:rFonts w:hint="eastAsia" w:ascii="宋体" w:hAnsi="宋体"/>
          <w:b/>
          <w:bCs/>
          <w:iCs/>
          <w:sz w:val="28"/>
          <w:szCs w:val="28"/>
        </w:rPr>
        <w:t xml:space="preserve">2.0.5 </w:t>
      </w:r>
      <w:r>
        <w:rPr>
          <w:rFonts w:hint="eastAsia" w:ascii="宋体" w:hAnsi="宋体" w:cstheme="minorBidi"/>
          <w:sz w:val="28"/>
          <w:szCs w:val="28"/>
        </w:rPr>
        <w:t>集成卫生间充分考虑了卫生间空间的多样组合或分隔，包括多器具的集成卫生间产品和仅有洗面、洗浴或便溺等单一功能模块的集成卫生间产品。</w:t>
      </w:r>
    </w:p>
    <w:p>
      <w:pPr>
        <w:widowControl/>
        <w:ind w:firstLine="560" w:firstLineChars="200"/>
        <w:jc w:val="left"/>
        <w:rPr>
          <w:rFonts w:ascii="宋体" w:hAnsi="宋体" w:cstheme="minorBidi"/>
          <w:sz w:val="28"/>
          <w:szCs w:val="28"/>
        </w:rPr>
      </w:pPr>
      <w:r>
        <w:rPr>
          <w:rFonts w:hint="eastAsia" w:ascii="宋体" w:hAnsi="宋体" w:cstheme="minorBidi"/>
          <w:sz w:val="28"/>
          <w:szCs w:val="28"/>
        </w:rPr>
        <w:t>集成卫生间是装配式建筑装饰装修的重要组成部分，其设计应按照标准化、系列化原则，并符合干式工法施工的要求，在制作和加工阶段实现装配化。</w:t>
      </w:r>
    </w:p>
    <w:p>
      <w:pPr>
        <w:widowControl/>
        <w:ind w:firstLine="560" w:firstLineChars="200"/>
        <w:jc w:val="left"/>
        <w:rPr>
          <w:rFonts w:ascii="宋体" w:hAnsi="宋体"/>
        </w:rPr>
      </w:pPr>
      <w:r>
        <w:rPr>
          <w:rFonts w:hint="eastAsia" w:ascii="宋体" w:hAnsi="宋体" w:cstheme="minorBidi"/>
          <w:sz w:val="28"/>
          <w:szCs w:val="28"/>
        </w:rPr>
        <w:t>评价项目各楼层卫生间中的洁具设备等应全部安装到位。考虑到工程实际情况，将相关干式</w:t>
      </w:r>
      <w:r>
        <w:rPr>
          <w:rFonts w:ascii="宋体" w:hAnsi="宋体" w:cstheme="minorBidi"/>
          <w:sz w:val="28"/>
          <w:szCs w:val="28"/>
        </w:rPr>
        <w:t>工法分成了吊顶、墙面和楼地面</w:t>
      </w:r>
      <w:r>
        <w:rPr>
          <w:rFonts w:hint="eastAsia" w:ascii="宋体" w:hAnsi="宋体" w:cstheme="minorBidi"/>
          <w:sz w:val="28"/>
          <w:szCs w:val="28"/>
        </w:rPr>
        <w:t>三项</w:t>
      </w:r>
      <w:r>
        <w:rPr>
          <w:rFonts w:ascii="宋体" w:hAnsi="宋体" w:cstheme="minorBidi"/>
          <w:sz w:val="28"/>
          <w:szCs w:val="28"/>
        </w:rPr>
        <w:t>分别</w:t>
      </w:r>
      <w:r>
        <w:rPr>
          <w:rFonts w:hint="eastAsia" w:ascii="宋体" w:hAnsi="宋体" w:cstheme="minorBidi"/>
          <w:sz w:val="28"/>
          <w:szCs w:val="28"/>
        </w:rPr>
        <w:t>计分</w:t>
      </w:r>
      <w:r>
        <w:rPr>
          <w:rFonts w:ascii="宋体" w:hAnsi="宋体" w:cstheme="minorBidi"/>
          <w:sz w:val="28"/>
          <w:szCs w:val="28"/>
        </w:rPr>
        <w:t>。</w:t>
      </w:r>
    </w:p>
    <w:p>
      <w:pPr>
        <w:pStyle w:val="24"/>
        <w:rPr>
          <w:rFonts w:ascii="宋体" w:hAnsi="宋体"/>
        </w:rPr>
        <w:sectPr>
          <w:pgSz w:w="11906" w:h="16838"/>
          <w:pgMar w:top="1440" w:right="1800" w:bottom="1440" w:left="1800" w:header="851" w:footer="992" w:gutter="0"/>
          <w:cols w:space="720" w:num="1"/>
          <w:docGrid w:type="lines" w:linePitch="312" w:charSpace="0"/>
        </w:sectPr>
      </w:pPr>
      <w:r>
        <w:rPr>
          <w:rFonts w:hint="eastAsia" w:ascii="宋体" w:hAnsi="宋体"/>
          <w:b/>
          <w:bCs/>
        </w:rPr>
        <w:t>2</w:t>
      </w:r>
      <w:r>
        <w:rPr>
          <w:rFonts w:ascii="宋体" w:hAnsi="宋体"/>
          <w:b/>
          <w:bCs/>
        </w:rPr>
        <w:t>.0.6</w:t>
      </w:r>
      <w:r>
        <w:rPr>
          <w:rFonts w:ascii="宋体" w:hAnsi="宋体"/>
        </w:rPr>
        <w:tab/>
      </w:r>
      <w:r>
        <w:rPr>
          <w:rFonts w:hint="eastAsia" w:ascii="宋体" w:hAnsi="宋体"/>
        </w:rPr>
        <w:t>装修施工时取消普通砂浆等湿作业的工法。</w:t>
      </w:r>
    </w:p>
    <w:p>
      <w:pPr>
        <w:pStyle w:val="2"/>
        <w:spacing w:after="312"/>
        <w:rPr>
          <w:rFonts w:ascii="宋体" w:hAnsi="宋体"/>
        </w:rPr>
      </w:pPr>
      <w:bookmarkStart w:id="30" w:name="_Toc17470060"/>
      <w:bookmarkStart w:id="31" w:name="_Toc133412703"/>
      <w:r>
        <w:rPr>
          <w:rFonts w:hint="eastAsia" w:ascii="宋体" w:hAnsi="宋体"/>
        </w:rPr>
        <w:t>3</w:t>
      </w:r>
      <w:r>
        <w:rPr>
          <w:rFonts w:hint="eastAsia" w:ascii="宋体" w:hAnsi="宋体"/>
        </w:rPr>
        <w:tab/>
      </w:r>
      <w:r>
        <w:rPr>
          <w:rFonts w:hint="eastAsia" w:ascii="宋体" w:hAnsi="宋体"/>
        </w:rPr>
        <w:t>基 本 规 定</w:t>
      </w:r>
      <w:bookmarkEnd w:id="30"/>
      <w:bookmarkEnd w:id="31"/>
    </w:p>
    <w:p>
      <w:pPr>
        <w:pStyle w:val="24"/>
        <w:rPr>
          <w:rFonts w:ascii="宋体" w:hAnsi="宋体"/>
        </w:rPr>
      </w:pPr>
      <w:r>
        <w:rPr>
          <w:rFonts w:hint="eastAsia" w:ascii="宋体" w:hAnsi="宋体"/>
          <w:b/>
          <w:bCs/>
        </w:rPr>
        <w:t>3</w:t>
      </w:r>
      <w:r>
        <w:rPr>
          <w:rFonts w:ascii="宋体" w:hAnsi="宋体"/>
          <w:b/>
          <w:bCs/>
        </w:rPr>
        <w:t>.0.1</w:t>
      </w:r>
      <w:r>
        <w:rPr>
          <w:rFonts w:ascii="宋体" w:hAnsi="宋体"/>
        </w:rPr>
        <w:tab/>
      </w:r>
      <w:r>
        <w:rPr>
          <w:rFonts w:hint="eastAsia" w:ascii="宋体" w:hAnsi="宋体"/>
        </w:rPr>
        <w:t>当主楼满足本指引3.0.3条时，该单体建筑可评价为装配式建筑。裙楼定义参照《建筑设计防火规范》GB50016（主楼层数、高度、面积等尺寸不应小于裙楼）。</w:t>
      </w:r>
    </w:p>
    <w:p>
      <w:pPr>
        <w:pStyle w:val="24"/>
        <w:ind w:firstLine="560" w:firstLineChars="200"/>
        <w:rPr>
          <w:rFonts w:ascii="宋体" w:hAnsi="宋体"/>
        </w:rPr>
      </w:pPr>
      <w:r>
        <w:rPr>
          <w:rFonts w:hint="eastAsia" w:ascii="宋体" w:hAnsi="宋体"/>
        </w:rPr>
        <w:t>以单体建筑作为装配率计算和装配式建筑等级评价的单元，主要基于单体建筑可构成整个建筑活动的工作单元和产品，并能全面、系统地反映装配式建筑的特点，具有较好的可操作性。</w:t>
      </w:r>
    </w:p>
    <w:p>
      <w:pPr>
        <w:pStyle w:val="24"/>
        <w:ind w:firstLine="560" w:firstLineChars="200"/>
        <w:rPr>
          <w:rFonts w:ascii="宋体" w:hAnsi="宋体"/>
        </w:rPr>
      </w:pPr>
      <w:r>
        <w:rPr>
          <w:rFonts w:hint="eastAsia" w:ascii="宋体" w:hAnsi="宋体"/>
        </w:rPr>
        <w:t>塔楼与裙房的划分方式可按“竖向划分”或“横向划分”方式，实施装配式建筑面积按切分后实际计容面积计算。当采用“坚向划分”方式时，主楼(塔楼)与裙房按主楼(塔楼)投影范围向切分；当采用“横向划分”方式时，仅裙房屋面层以上的主楼(塔楼)部分(可不含起始层的楼板)作为“评价单元”。</w:t>
      </w:r>
    </w:p>
    <w:p>
      <w:pPr>
        <w:pStyle w:val="24"/>
        <w:ind w:firstLine="560" w:firstLineChars="200"/>
        <w:rPr>
          <w:rFonts w:ascii="宋体" w:hAnsi="宋体"/>
        </w:rPr>
      </w:pPr>
      <w:r>
        <w:rPr>
          <w:rFonts w:hint="eastAsia" w:ascii="宋体" w:hAnsi="宋体"/>
        </w:rPr>
        <w:t>屋面层不计容积率建筑面积的部分，可不列入各评价项的计算范围。</w:t>
      </w:r>
    </w:p>
    <w:p>
      <w:pPr>
        <w:pStyle w:val="24"/>
        <w:tabs>
          <w:tab w:val="left" w:pos="851"/>
        </w:tabs>
        <w:rPr>
          <w:rFonts w:ascii="宋体" w:hAnsi="宋体"/>
        </w:rPr>
      </w:pPr>
      <w:r>
        <w:rPr>
          <w:rFonts w:hint="eastAsia" w:ascii="宋体" w:hAnsi="宋体"/>
          <w:b/>
          <w:bCs/>
        </w:rPr>
        <w:t>3</w:t>
      </w:r>
      <w:r>
        <w:rPr>
          <w:rFonts w:ascii="宋体" w:hAnsi="宋体"/>
          <w:b/>
          <w:bCs/>
        </w:rPr>
        <w:t>.0.2</w:t>
      </w:r>
      <w:r>
        <w:rPr>
          <w:rFonts w:ascii="宋体" w:hAnsi="宋体"/>
        </w:rPr>
        <w:tab/>
      </w:r>
      <w:r>
        <w:rPr>
          <w:rFonts w:hint="eastAsia" w:ascii="宋体" w:hAnsi="宋体"/>
        </w:rPr>
        <w:t>为保证装配式建筑评价质量和效果，切实发挥评价工作的指导作用，</w:t>
      </w:r>
      <w:bookmarkStart w:id="32" w:name="_Hlk20124506"/>
      <w:r>
        <w:rPr>
          <w:rFonts w:hint="eastAsia" w:ascii="宋体" w:hAnsi="宋体"/>
        </w:rPr>
        <w:t>装配式建筑评价分为预评价和项目评价。</w:t>
      </w:r>
      <w:bookmarkEnd w:id="32"/>
    </w:p>
    <w:p>
      <w:pPr>
        <w:pStyle w:val="47"/>
        <w:ind w:firstLine="560"/>
        <w:rPr>
          <w:rFonts w:ascii="宋体" w:hAnsi="宋体"/>
        </w:rPr>
      </w:pPr>
      <w:r>
        <w:rPr>
          <w:rFonts w:hint="eastAsia" w:ascii="宋体" w:hAnsi="宋体"/>
        </w:rPr>
        <w:t>为促使装配式建筑设计理念尽早融入到项目实施过程中，项目宜在初步设计完成后，施工图设计前进行预评价；当无初步设计时，应在施工图设计完成时进行预评价。如果预评价结果不满足装配式建筑评价的相关要求，项目可结合预评价过程中发现的不足，通过调整或优化设计方案使其满足要求。</w:t>
      </w:r>
    </w:p>
    <w:p>
      <w:pPr>
        <w:pStyle w:val="47"/>
        <w:ind w:firstLine="560"/>
        <w:rPr>
          <w:rFonts w:ascii="宋体" w:hAnsi="宋体"/>
        </w:rPr>
      </w:pPr>
      <w:r>
        <w:rPr>
          <w:rFonts w:hint="eastAsia" w:ascii="宋体" w:hAnsi="宋体"/>
        </w:rPr>
        <w:t>项目评价应在竣工验收时，按照竣工资料和相关证明文件进行项目评价。项目评价是装配式建筑评价的最终结果，评价内容包括计算评价项目的装配率和确定评价等级。</w:t>
      </w:r>
    </w:p>
    <w:p>
      <w:pPr>
        <w:pStyle w:val="24"/>
        <w:rPr>
          <w:rFonts w:ascii="宋体" w:hAnsi="宋体"/>
          <w:b/>
          <w:bCs/>
        </w:rPr>
      </w:pPr>
      <w:r>
        <w:rPr>
          <w:rFonts w:hint="eastAsia" w:ascii="宋体" w:hAnsi="宋体"/>
          <w:b/>
          <w:bCs/>
        </w:rPr>
        <w:t>3</w:t>
      </w:r>
      <w:r>
        <w:rPr>
          <w:rFonts w:ascii="宋体" w:hAnsi="宋体"/>
          <w:b/>
          <w:bCs/>
        </w:rPr>
        <w:t>.0.3</w:t>
      </w:r>
      <w:r>
        <w:rPr>
          <w:rFonts w:ascii="宋体" w:hAnsi="宋体"/>
          <w:b/>
          <w:bCs/>
        </w:rPr>
        <w:tab/>
      </w:r>
      <w:r>
        <w:rPr>
          <w:rFonts w:hint="eastAsia"/>
        </w:rPr>
        <w:t>装配式建筑等级</w:t>
      </w:r>
      <w:r>
        <w:t>评价</w:t>
      </w:r>
      <w:r>
        <w:rPr>
          <w:rFonts w:hint="eastAsia"/>
        </w:rPr>
        <w:t>应符合本指引第5章的规定。</w:t>
      </w:r>
    </w:p>
    <w:p>
      <w:pPr>
        <w:pStyle w:val="24"/>
        <w:rPr>
          <w:rFonts w:ascii="宋体" w:hAnsi="宋体"/>
        </w:rPr>
      </w:pPr>
      <w:r>
        <w:rPr>
          <w:rFonts w:hint="eastAsia" w:ascii="宋体" w:hAnsi="宋体"/>
          <w:b/>
          <w:bCs/>
        </w:rPr>
        <w:t>3.0.4</w:t>
      </w:r>
      <w:r>
        <w:rPr>
          <w:rFonts w:ascii="宋体" w:hAnsi="宋体"/>
        </w:rPr>
        <w:tab/>
      </w:r>
      <w:r>
        <w:rPr>
          <w:rFonts w:hint="eastAsia" w:ascii="宋体" w:hAnsi="宋体" w:cstheme="minorBidi"/>
        </w:rPr>
        <w:t>装配化装修是装配式建筑的倡导方向。装配化装修是将工厂生产的部品部件在现场进行组合安装的装修方式，主要包括干式工法（吊顶、墙面、楼地面）、集成厨房、集成卫生间、管线分离等方面的内容。</w:t>
      </w:r>
    </w:p>
    <w:p>
      <w:pPr>
        <w:pStyle w:val="24"/>
        <w:rPr>
          <w:rFonts w:ascii="宋体" w:hAnsi="宋体"/>
          <w:sz w:val="36"/>
          <w:szCs w:val="36"/>
        </w:rPr>
        <w:sectPr>
          <w:pgSz w:w="11906" w:h="16838"/>
          <w:pgMar w:top="1440" w:right="1800" w:bottom="1440" w:left="1800" w:header="851" w:footer="992" w:gutter="0"/>
          <w:cols w:space="720" w:num="1"/>
          <w:docGrid w:type="lines" w:linePitch="312" w:charSpace="0"/>
        </w:sectPr>
      </w:pPr>
    </w:p>
    <w:p>
      <w:pPr>
        <w:pStyle w:val="2"/>
        <w:spacing w:after="312"/>
        <w:rPr>
          <w:rFonts w:ascii="宋体" w:hAnsi="宋体"/>
        </w:rPr>
      </w:pPr>
      <w:bookmarkStart w:id="33" w:name="_Toc17470061"/>
      <w:bookmarkStart w:id="34" w:name="_Toc133412704"/>
      <w:r>
        <w:rPr>
          <w:rFonts w:hint="eastAsia" w:ascii="宋体" w:hAnsi="宋体"/>
        </w:rPr>
        <w:t>4</w:t>
      </w:r>
      <w:r>
        <w:rPr>
          <w:rFonts w:hint="eastAsia" w:ascii="宋体" w:hAnsi="宋体"/>
        </w:rPr>
        <w:tab/>
      </w:r>
      <w:r>
        <w:rPr>
          <w:rFonts w:hint="eastAsia" w:ascii="宋体" w:hAnsi="宋体"/>
        </w:rPr>
        <w:t>装配率计算</w:t>
      </w:r>
      <w:bookmarkEnd w:id="33"/>
      <w:bookmarkEnd w:id="34"/>
    </w:p>
    <w:p>
      <w:pPr>
        <w:pStyle w:val="45"/>
        <w:spacing w:before="156" w:after="156"/>
        <w:rPr>
          <w:rFonts w:ascii="宋体" w:hAnsi="宋体"/>
        </w:rPr>
      </w:pPr>
      <w:bookmarkStart w:id="35" w:name="_Toc133412705"/>
      <w:r>
        <w:rPr>
          <w:rFonts w:hint="eastAsia" w:ascii="宋体" w:hAnsi="宋体"/>
        </w:rPr>
        <w:t>4.1 计算公式与评分表</w:t>
      </w:r>
      <w:bookmarkEnd w:id="35"/>
    </w:p>
    <w:p>
      <w:pPr>
        <w:pStyle w:val="24"/>
        <w:rPr>
          <w:rFonts w:ascii="宋体" w:hAnsi="宋体"/>
        </w:rPr>
      </w:pPr>
      <w:r>
        <w:rPr>
          <w:rFonts w:hint="eastAsia" w:ascii="宋体" w:hAnsi="宋体"/>
          <w:b/>
          <w:bCs/>
        </w:rPr>
        <w:t>4</w:t>
      </w:r>
      <w:r>
        <w:rPr>
          <w:rFonts w:ascii="宋体" w:hAnsi="宋体"/>
          <w:b/>
          <w:bCs/>
        </w:rPr>
        <w:t>.1.2</w:t>
      </w:r>
      <w:r>
        <w:rPr>
          <w:rFonts w:ascii="宋体" w:hAnsi="宋体"/>
        </w:rPr>
        <w:tab/>
      </w:r>
      <w:r>
        <w:rPr>
          <w:rFonts w:hint="eastAsia" w:ascii="宋体" w:hAnsi="宋体"/>
        </w:rPr>
        <w:t>评价项目的装配率应按照本条的规定进行计算，计算结果应按照四舍五入法取整数。若计算过程中，评价项目缺少表4.1.2中对应的某建筑功能评价项(例如，公共建筑中未设置厨房)，则该评价项分值记入装配率计算公式的Q</w:t>
      </w:r>
      <w:r>
        <w:rPr>
          <w:rFonts w:hint="eastAsia" w:ascii="宋体" w:hAnsi="宋体"/>
          <w:vertAlign w:val="subscript"/>
        </w:rPr>
        <w:t>4</w:t>
      </w:r>
      <w:r>
        <w:rPr>
          <w:rFonts w:hint="eastAsia" w:ascii="宋体" w:hAnsi="宋体"/>
        </w:rPr>
        <w:t>中。</w:t>
      </w:r>
    </w:p>
    <w:p>
      <w:pPr>
        <w:pStyle w:val="47"/>
        <w:ind w:firstLine="560"/>
        <w:rPr>
          <w:rFonts w:ascii="宋体" w:hAnsi="宋体"/>
        </w:rPr>
      </w:pPr>
      <w:r>
        <w:rPr>
          <w:rFonts w:hint="eastAsia" w:ascii="宋体" w:hAnsi="宋体"/>
        </w:rPr>
        <w:t>表4.1.2中部分评价项目在评价要求部分只列出了比例范围的区间。在工程评价过程中，如果实际计算的评价比例小于比例范围中的最小值，则评价分值取0分；如果实际计算的评价比例大于比例范围中的最大值，则评价分值取比例范围中最大值对应的评价分值。{例如：当楼(屋)盖构件（Q</w:t>
      </w:r>
      <w:r>
        <w:rPr>
          <w:rFonts w:hint="eastAsia" w:ascii="宋体" w:hAnsi="宋体"/>
          <w:vertAlign w:val="subscript"/>
        </w:rPr>
        <w:t>1b</w:t>
      </w:r>
      <w:r>
        <w:rPr>
          <w:rFonts w:hint="eastAsia" w:ascii="宋体" w:hAnsi="宋体"/>
        </w:rPr>
        <w:t>）中预制部品部件的应用比例小于</w:t>
      </w:r>
      <w:r>
        <w:rPr>
          <w:rFonts w:ascii="宋体" w:hAnsi="宋体"/>
        </w:rPr>
        <w:t>6</w:t>
      </w:r>
      <w:r>
        <w:rPr>
          <w:rFonts w:hint="eastAsia" w:ascii="宋体" w:hAnsi="宋体"/>
        </w:rPr>
        <w:t>0％时，该项评价分值为0分；当应用比例大于</w:t>
      </w:r>
      <w:r>
        <w:rPr>
          <w:rFonts w:ascii="宋体" w:hAnsi="宋体"/>
        </w:rPr>
        <w:t>7</w:t>
      </w:r>
      <w:r>
        <w:rPr>
          <w:rFonts w:hint="eastAsia" w:ascii="宋体" w:hAnsi="宋体"/>
        </w:rPr>
        <w:t>0％时，该项评价分值为</w:t>
      </w:r>
      <w:r>
        <w:rPr>
          <w:rFonts w:ascii="宋体" w:hAnsi="宋体"/>
        </w:rPr>
        <w:t>16</w:t>
      </w:r>
      <w:r>
        <w:rPr>
          <w:rFonts w:hint="eastAsia" w:ascii="宋体" w:hAnsi="宋体"/>
        </w:rPr>
        <w:t>分。}</w:t>
      </w:r>
    </w:p>
    <w:p>
      <w:pPr>
        <w:pStyle w:val="47"/>
        <w:ind w:firstLine="560"/>
        <w:rPr>
          <w:rFonts w:ascii="宋体" w:hAnsi="宋体"/>
        </w:rPr>
      </w:pPr>
      <w:r>
        <w:rPr>
          <w:rFonts w:hint="eastAsia" w:ascii="宋体" w:hAnsi="宋体"/>
        </w:rPr>
        <w:t>按照本条的规定，装配式木结构建筑主体结构竖向构件评价项得分可为</w:t>
      </w:r>
      <w:r>
        <w:rPr>
          <w:rFonts w:ascii="宋体" w:hAnsi="宋体"/>
        </w:rPr>
        <w:t xml:space="preserve">24 </w:t>
      </w:r>
      <w:r>
        <w:rPr>
          <w:rFonts w:hint="eastAsia" w:ascii="宋体" w:hAnsi="宋体"/>
        </w:rPr>
        <w:t>分。</w:t>
      </w:r>
    </w:p>
    <w:p>
      <w:pPr>
        <w:pStyle w:val="47"/>
        <w:ind w:firstLine="560"/>
        <w:rPr>
          <w:rFonts w:ascii="宋体" w:hAnsi="宋体"/>
        </w:rPr>
      </w:pPr>
      <w:r>
        <w:rPr>
          <w:rFonts w:hint="eastAsia" w:ascii="宋体" w:hAnsi="宋体"/>
        </w:rPr>
        <w:t>对于非比例计算评分的技术项，单体建筑整体应满足相关条款的具体技术要求才可得相应分数,累计得分不超过单项的最高分。</w:t>
      </w:r>
    </w:p>
    <w:p>
      <w:pPr>
        <w:pStyle w:val="47"/>
        <w:ind w:firstLine="560"/>
        <w:rPr>
          <w:rFonts w:ascii="宋体" w:hAnsi="宋体"/>
        </w:rPr>
      </w:pPr>
      <w:r>
        <w:rPr>
          <w:rFonts w:hint="eastAsia" w:ascii="宋体" w:hAnsi="宋体"/>
        </w:rPr>
        <w:t>为了有利于推动各类型装配式建筑的应用，装配式混凝土建筑与装配式钢结构建筑根据自身的特点按评分表及第4.2节确定对应的分值，本指引统一采用表4.1.2。</w:t>
      </w:r>
    </w:p>
    <w:p>
      <w:pPr>
        <w:pStyle w:val="45"/>
        <w:spacing w:before="156" w:after="156"/>
        <w:rPr>
          <w:rFonts w:ascii="宋体" w:hAnsi="宋体"/>
        </w:rPr>
      </w:pPr>
      <w:bookmarkStart w:id="36" w:name="_Toc133412706"/>
      <w:r>
        <w:rPr>
          <w:rFonts w:hint="eastAsia" w:ascii="宋体" w:hAnsi="宋体"/>
        </w:rPr>
        <w:t xml:space="preserve">4.2 </w:t>
      </w:r>
      <w:r>
        <w:rPr>
          <w:rFonts w:hint="eastAsia" w:ascii="宋体" w:hAnsi="宋体"/>
          <w:szCs w:val="28"/>
        </w:rPr>
        <w:t>主体</w:t>
      </w:r>
      <w:r>
        <w:rPr>
          <w:rFonts w:hint="eastAsia" w:ascii="宋体" w:hAnsi="宋体"/>
        </w:rPr>
        <w:t>结构</w:t>
      </w:r>
      <w:bookmarkEnd w:id="36"/>
    </w:p>
    <w:p>
      <w:pPr>
        <w:pStyle w:val="24"/>
        <w:rPr>
          <w:rFonts w:ascii="宋体" w:hAnsi="宋体"/>
        </w:rPr>
      </w:pPr>
      <w:r>
        <w:rPr>
          <w:rFonts w:hint="eastAsia" w:ascii="宋体" w:hAnsi="宋体"/>
          <w:b/>
          <w:bCs/>
        </w:rPr>
        <w:t>4</w:t>
      </w:r>
      <w:r>
        <w:rPr>
          <w:rFonts w:ascii="宋体" w:hAnsi="宋体"/>
          <w:b/>
          <w:bCs/>
        </w:rPr>
        <w:t>.2.1</w:t>
      </w:r>
      <w:r>
        <w:rPr>
          <w:rFonts w:ascii="宋体" w:hAnsi="宋体"/>
        </w:rPr>
        <w:tab/>
      </w:r>
      <w:r>
        <w:rPr>
          <w:rFonts w:hint="eastAsia" w:ascii="宋体" w:hAnsi="宋体"/>
        </w:rPr>
        <w:t>装配整体式框架-现浇混凝土剪力墙或核心筒结构可采用本指引进行评价，V</w:t>
      </w:r>
      <w:r>
        <w:rPr>
          <w:rFonts w:hint="eastAsia" w:ascii="宋体" w:hAnsi="宋体"/>
          <w:vertAlign w:val="subscript"/>
        </w:rPr>
        <w:t>1a</w:t>
      </w:r>
      <w:r>
        <w:rPr>
          <w:rFonts w:hint="eastAsia" w:ascii="宋体" w:hAnsi="宋体"/>
        </w:rPr>
        <w:t>的取值应包括所有预制框架柱体积和满足本指引第</w:t>
      </w:r>
      <w:r>
        <w:rPr>
          <w:rFonts w:hint="eastAsia" w:ascii="宋体" w:hAnsi="宋体"/>
          <w:bCs/>
        </w:rPr>
        <w:t>4.2.2</w:t>
      </w:r>
      <w:r>
        <w:rPr>
          <w:rFonts w:hint="eastAsia" w:ascii="宋体" w:hAnsi="宋体"/>
        </w:rPr>
        <w:t>条规定的可计入计算的后浇混凝土体积；V的取值应包括框架柱、剪力墙或核心筒全部混凝土体积。</w:t>
      </w:r>
    </w:p>
    <w:p>
      <w:pPr>
        <w:pStyle w:val="24"/>
        <w:tabs>
          <w:tab w:val="left" w:pos="851"/>
        </w:tabs>
        <w:rPr>
          <w:rFonts w:ascii="宋体" w:hAnsi="宋体"/>
        </w:rPr>
      </w:pPr>
      <w:r>
        <w:rPr>
          <w:rFonts w:ascii="宋体" w:hAnsi="宋体"/>
          <w:b/>
          <w:bCs/>
        </w:rPr>
        <w:t>4.2.3</w:t>
      </w:r>
      <w:r>
        <w:rPr>
          <w:rFonts w:ascii="宋体" w:hAnsi="宋体"/>
        </w:rPr>
        <w:tab/>
      </w:r>
      <w:r>
        <w:rPr>
          <w:rFonts w:hint="eastAsia" w:ascii="宋体" w:hAnsi="宋体"/>
        </w:rPr>
        <w:t>为统一装配式建筑评价标准，对装配式钢结构建筑和装配式钢-混凝土混合结构建筑进行评价，本条针对其竖向构件的评价分值进行了相关规定。根据广东省标准《钢结构设计规程》DBJ 15-102、《高层建筑钢-混凝土混合结构技术规程》DBJ/T15-128，相关竖向构件主要包括如下：</w:t>
      </w:r>
    </w:p>
    <w:p>
      <w:pPr>
        <w:pStyle w:val="47"/>
        <w:ind w:firstLine="560"/>
        <w:rPr>
          <w:rFonts w:ascii="宋体" w:hAnsi="宋体"/>
        </w:rPr>
      </w:pPr>
      <w:r>
        <w:rPr>
          <w:rFonts w:hint="eastAsia" w:ascii="宋体" w:hAnsi="宋体"/>
        </w:rPr>
        <w:t>钢构件：钢柱、钢支撑、屈曲约束支撑、钢板剪力墙、钢板组合剪力墙等钢构件。</w:t>
      </w:r>
    </w:p>
    <w:p>
      <w:pPr>
        <w:pStyle w:val="47"/>
        <w:ind w:firstLine="560"/>
        <w:rPr>
          <w:rFonts w:ascii="宋体" w:hAnsi="宋体"/>
        </w:rPr>
      </w:pPr>
      <w:r>
        <w:rPr>
          <w:rFonts w:hint="eastAsia" w:ascii="宋体" w:hAnsi="宋体"/>
        </w:rPr>
        <w:t>外包钢-混凝土组合柱：圆形钢管混凝土柱、矩形钢管混凝土柱和异形钢管混凝土柱。</w:t>
      </w:r>
    </w:p>
    <w:p>
      <w:pPr>
        <w:pStyle w:val="47"/>
        <w:ind w:firstLine="560"/>
        <w:rPr>
          <w:rFonts w:ascii="宋体" w:hAnsi="宋体"/>
        </w:rPr>
      </w:pPr>
      <w:r>
        <w:rPr>
          <w:rFonts w:hint="eastAsia" w:ascii="宋体" w:hAnsi="宋体"/>
        </w:rPr>
        <w:t>外包钢-混凝土剪力墙：外包钢板混凝土剪力墙、排钢管钢板混凝土剪力墙或钢板组合剪力墙。</w:t>
      </w:r>
    </w:p>
    <w:p>
      <w:pPr>
        <w:pStyle w:val="24"/>
        <w:tabs>
          <w:tab w:val="left" w:pos="851"/>
        </w:tabs>
        <w:rPr>
          <w:rFonts w:ascii="宋体" w:hAnsi="宋体"/>
        </w:rPr>
      </w:pPr>
      <w:r>
        <w:rPr>
          <w:rFonts w:ascii="宋体" w:hAnsi="宋体"/>
          <w:b/>
          <w:bCs/>
        </w:rPr>
        <w:t>4.2.4</w:t>
      </w:r>
      <w:r>
        <w:rPr>
          <w:rFonts w:ascii="宋体" w:hAnsi="宋体"/>
        </w:rPr>
        <w:tab/>
      </w:r>
      <w:r>
        <w:rPr>
          <w:rFonts w:hint="eastAsia" w:ascii="宋体" w:hAnsi="宋体"/>
        </w:rPr>
        <w:t>A中的楼板（含屋面板）的水平投影面积可取楼层外边线投影围合的面积扣除围合范围内的洞口面积、阳台的面积、混凝土墙和柱的水平投影面积、以及梁的水平投影面积后剩余的面积。梁的水平投影面积不包括梁与柱重叠、梁与钢筋混凝土剪力墙重叠的面积。</w:t>
      </w:r>
    </w:p>
    <w:p>
      <w:pPr>
        <w:pStyle w:val="47"/>
        <w:ind w:firstLine="560"/>
        <w:rPr>
          <w:rFonts w:ascii="宋体" w:hAnsi="宋体"/>
        </w:rPr>
      </w:pPr>
      <w:r>
        <w:rPr>
          <w:rFonts w:hint="eastAsia" w:ascii="宋体" w:hAnsi="宋体"/>
        </w:rPr>
        <w:t>根据《装配式混凝土建筑技术标准》GB/T51231-2016中第5.5.2条规定，高层装配整体式混凝土结构中平面受力复杂的楼层宜采用现浇楼盖。因此，当高层建筑的公共通道和前室采用现浇楼盖时，可扣除相应的面积，但不应超过50m</w:t>
      </w:r>
      <w:r>
        <w:rPr>
          <w:rFonts w:hint="eastAsia" w:ascii="宋体" w:hAnsi="宋体"/>
          <w:vertAlign w:val="superscript"/>
        </w:rPr>
        <w:t>2</w:t>
      </w:r>
      <w:r>
        <w:rPr>
          <w:rFonts w:hint="eastAsia" w:ascii="宋体" w:hAnsi="宋体"/>
        </w:rPr>
        <w:t>。</w:t>
      </w:r>
    </w:p>
    <w:p>
      <w:pPr>
        <w:pStyle w:val="47"/>
        <w:ind w:firstLine="560"/>
        <w:rPr>
          <w:rFonts w:ascii="宋体" w:hAnsi="宋体"/>
        </w:rPr>
      </w:pPr>
      <w:r>
        <w:rPr>
          <w:rFonts w:hint="eastAsia" w:ascii="宋体" w:hAnsi="宋体"/>
        </w:rPr>
        <w:t>执行本条规定</w:t>
      </w:r>
      <w:r>
        <w:rPr>
          <w:rFonts w:ascii="宋体" w:hAnsi="宋体"/>
        </w:rPr>
        <w:t>时</w:t>
      </w:r>
      <w:r>
        <w:rPr>
          <w:rFonts w:hint="eastAsia" w:ascii="宋体" w:hAnsi="宋体"/>
        </w:rPr>
        <w:t>还应</w:t>
      </w:r>
      <w:r>
        <w:rPr>
          <w:rFonts w:ascii="宋体" w:hAnsi="宋体"/>
        </w:rPr>
        <w:t>注意以下</w:t>
      </w:r>
      <w:r>
        <w:rPr>
          <w:rFonts w:hint="eastAsia" w:ascii="宋体" w:hAnsi="宋体"/>
        </w:rPr>
        <w:t>内容</w:t>
      </w:r>
      <w:r>
        <w:rPr>
          <w:rFonts w:ascii="宋体" w:hAnsi="宋体"/>
        </w:rPr>
        <w:t>：</w:t>
      </w:r>
    </w:p>
    <w:p>
      <w:pPr>
        <w:pStyle w:val="47"/>
        <w:ind w:firstLine="560"/>
        <w:rPr>
          <w:rFonts w:ascii="宋体" w:hAnsi="宋体"/>
        </w:rPr>
      </w:pPr>
      <w:r>
        <w:rPr>
          <w:rFonts w:hint="eastAsia" w:ascii="宋体" w:hAnsi="宋体"/>
        </w:rPr>
        <w:t>（1）屋面板应列入水平构件应用比例计算范围；</w:t>
      </w:r>
    </w:p>
    <w:p>
      <w:pPr>
        <w:pStyle w:val="24"/>
        <w:tabs>
          <w:tab w:val="left" w:pos="851"/>
        </w:tabs>
        <w:ind w:firstLine="560" w:firstLineChars="200"/>
        <w:rPr>
          <w:rFonts w:ascii="宋体" w:hAnsi="宋体"/>
        </w:rPr>
      </w:pPr>
      <w:r>
        <w:rPr>
          <w:rFonts w:hint="eastAsia" w:ascii="宋体" w:hAnsi="宋体"/>
        </w:rPr>
        <w:t>（2）不承担使用功能、或层高小于2.2m且不计入建筑面积的建筑夹层和坡屋顶结构阁楼，可不列入水平构件应用比例计算范围；</w:t>
      </w:r>
    </w:p>
    <w:p>
      <w:pPr>
        <w:pStyle w:val="24"/>
        <w:tabs>
          <w:tab w:val="left" w:pos="851"/>
        </w:tabs>
        <w:ind w:firstLine="560" w:firstLineChars="200"/>
        <w:rPr>
          <w:rFonts w:ascii="宋体" w:hAnsi="宋体"/>
        </w:rPr>
      </w:pPr>
      <w:r>
        <w:rPr>
          <w:rFonts w:hint="eastAsia" w:ascii="宋体" w:hAnsi="宋体"/>
        </w:rPr>
        <w:t>（3）结构转换构件所在户型的水平投影面积可不列入水平构件应用比例计算范围；</w:t>
      </w:r>
    </w:p>
    <w:p>
      <w:pPr>
        <w:pStyle w:val="24"/>
        <w:tabs>
          <w:tab w:val="left" w:pos="851"/>
        </w:tabs>
        <w:ind w:firstLine="560" w:firstLineChars="200"/>
        <w:rPr>
          <w:rFonts w:ascii="宋体" w:hAnsi="宋体"/>
        </w:rPr>
      </w:pPr>
      <w:r>
        <w:rPr>
          <w:rFonts w:hint="eastAsia" w:ascii="宋体" w:hAnsi="宋体"/>
        </w:rPr>
        <w:t>（4）预制水平构件伸入墙</w:t>
      </w:r>
      <w:r>
        <w:rPr>
          <w:rFonts w:ascii="宋体" w:hAnsi="宋体"/>
        </w:rPr>
        <w:t>柱</w:t>
      </w:r>
      <w:r>
        <w:rPr>
          <w:rFonts w:hint="eastAsia" w:ascii="宋体" w:hAnsi="宋体"/>
        </w:rPr>
        <w:t>、</w:t>
      </w:r>
      <w:r>
        <w:rPr>
          <w:rFonts w:ascii="宋体" w:hAnsi="宋体"/>
        </w:rPr>
        <w:t>梁的</w:t>
      </w:r>
      <w:r>
        <w:rPr>
          <w:rFonts w:hint="eastAsia" w:ascii="宋体" w:hAnsi="宋体"/>
        </w:rPr>
        <w:t>部分，可计入水平构件面积；</w:t>
      </w:r>
    </w:p>
    <w:p>
      <w:pPr>
        <w:pStyle w:val="24"/>
        <w:tabs>
          <w:tab w:val="left" w:pos="851"/>
        </w:tabs>
        <w:ind w:firstLine="560" w:firstLineChars="200"/>
        <w:rPr>
          <w:rFonts w:ascii="宋体" w:hAnsi="宋体"/>
        </w:rPr>
      </w:pPr>
      <w:r>
        <w:rPr>
          <w:rFonts w:hint="eastAsia" w:ascii="宋体" w:hAnsi="宋体"/>
        </w:rPr>
        <w:t>（</w:t>
      </w:r>
      <w:r>
        <w:rPr>
          <w:rFonts w:ascii="宋体" w:hAnsi="宋体"/>
        </w:rPr>
        <w:t>5</w:t>
      </w:r>
      <w:r>
        <w:rPr>
          <w:rFonts w:hint="eastAsia" w:ascii="宋体" w:hAnsi="宋体"/>
        </w:rPr>
        <w:t>）A可扣除满足“非砌筑”要求的混凝土非承重围护墙（实墙部分，不含门窗洞口）对应的水平投影面积；</w:t>
      </w:r>
    </w:p>
    <w:p>
      <w:pPr>
        <w:pStyle w:val="24"/>
        <w:tabs>
          <w:tab w:val="left" w:pos="851"/>
        </w:tabs>
        <w:ind w:firstLine="560" w:firstLineChars="200"/>
        <w:rPr>
          <w:rFonts w:ascii="宋体" w:hAnsi="宋体"/>
        </w:rPr>
      </w:pPr>
      <w:r>
        <w:rPr>
          <w:rFonts w:hint="eastAsia" w:ascii="宋体" w:hAnsi="宋体"/>
        </w:rPr>
        <w:t>（</w:t>
      </w:r>
      <w:r>
        <w:rPr>
          <w:rFonts w:ascii="宋体" w:hAnsi="宋体"/>
        </w:rPr>
        <w:t>6</w:t>
      </w:r>
      <w:r>
        <w:rPr>
          <w:rFonts w:hint="eastAsia" w:ascii="宋体" w:hAnsi="宋体"/>
        </w:rPr>
        <w:t>）空调位出现楼层间有两层或多层空调板的情况时，仅按一层空调板的水平投影面积计算；当有预制空调板时，可按一层面积计入分子；</w:t>
      </w:r>
    </w:p>
    <w:p>
      <w:pPr>
        <w:pStyle w:val="24"/>
        <w:tabs>
          <w:tab w:val="left" w:pos="851"/>
        </w:tabs>
        <w:ind w:firstLine="560" w:firstLineChars="200"/>
        <w:rPr>
          <w:rFonts w:ascii="宋体" w:hAnsi="宋体"/>
        </w:rPr>
      </w:pPr>
      <w:r>
        <w:rPr>
          <w:rFonts w:hint="eastAsia" w:ascii="宋体" w:hAnsi="宋体"/>
        </w:rPr>
        <w:t>（</w:t>
      </w:r>
      <w:r>
        <w:rPr>
          <w:rFonts w:ascii="宋体" w:hAnsi="宋体"/>
        </w:rPr>
        <w:t>7</w:t>
      </w:r>
      <w:r>
        <w:rPr>
          <w:rFonts w:hint="eastAsia" w:ascii="宋体" w:hAnsi="宋体"/>
        </w:rPr>
        <w:t>）凸窗的水平投影面积应计入水平构件的水平投影面积，两层挑板只计一次面积；</w:t>
      </w:r>
    </w:p>
    <w:p>
      <w:pPr>
        <w:pStyle w:val="47"/>
        <w:ind w:firstLine="560"/>
        <w:rPr>
          <w:rFonts w:ascii="宋体" w:hAnsi="宋体"/>
        </w:rPr>
      </w:pPr>
      <w:r>
        <w:rPr>
          <w:rFonts w:hint="eastAsia" w:ascii="宋体" w:hAnsi="宋体"/>
        </w:rPr>
        <w:t>（</w:t>
      </w:r>
      <w:r>
        <w:rPr>
          <w:rFonts w:ascii="宋体" w:hAnsi="宋体"/>
        </w:rPr>
        <w:t>8</w:t>
      </w:r>
      <w:r>
        <w:rPr>
          <w:rFonts w:hint="eastAsia" w:ascii="宋体" w:hAnsi="宋体"/>
        </w:rPr>
        <w:t>）高层建筑中</w:t>
      </w:r>
      <w:r>
        <w:rPr>
          <w:rFonts w:ascii="宋体" w:hAnsi="宋体"/>
        </w:rPr>
        <w:t>，</w:t>
      </w:r>
      <w:r>
        <w:rPr>
          <w:rFonts w:hint="eastAsia" w:ascii="宋体" w:hAnsi="宋体"/>
        </w:rPr>
        <w:t>无论是否</w:t>
      </w:r>
      <w:r>
        <w:rPr>
          <w:rFonts w:ascii="宋体" w:hAnsi="宋体"/>
        </w:rPr>
        <w:t>“</w:t>
      </w:r>
      <w:r>
        <w:rPr>
          <w:rFonts w:hint="eastAsia" w:ascii="宋体" w:hAnsi="宋体"/>
        </w:rPr>
        <w:t>平面受力复杂的楼层</w:t>
      </w:r>
      <w:r>
        <w:rPr>
          <w:rFonts w:ascii="宋体" w:hAnsi="宋体"/>
        </w:rPr>
        <w:t>”</w:t>
      </w:r>
      <w:r>
        <w:rPr>
          <w:rFonts w:hint="eastAsia" w:ascii="宋体" w:hAnsi="宋体"/>
        </w:rPr>
        <w:t>，均可按本条文</w:t>
      </w:r>
      <w:r>
        <w:rPr>
          <w:rFonts w:ascii="宋体" w:hAnsi="宋体"/>
        </w:rPr>
        <w:t>执行</w:t>
      </w:r>
      <w:r>
        <w:rPr>
          <w:rFonts w:hint="eastAsia" w:ascii="宋体" w:hAnsi="宋体"/>
        </w:rPr>
        <w:t>；</w:t>
      </w:r>
    </w:p>
    <w:p>
      <w:pPr>
        <w:pStyle w:val="47"/>
        <w:ind w:firstLine="560"/>
        <w:rPr>
          <w:rFonts w:ascii="宋体" w:hAnsi="宋体"/>
        </w:rPr>
      </w:pPr>
      <w:r>
        <w:rPr>
          <w:rFonts w:hint="eastAsia" w:ascii="宋体" w:hAnsi="宋体"/>
        </w:rPr>
        <w:t>（</w:t>
      </w:r>
      <w:r>
        <w:rPr>
          <w:rFonts w:ascii="宋体" w:hAnsi="宋体"/>
        </w:rPr>
        <w:t>9</w:t>
      </w:r>
      <w:r>
        <w:rPr>
          <w:rFonts w:hint="eastAsia" w:ascii="宋体" w:hAnsi="宋体"/>
        </w:rPr>
        <w:t>）建筑单体由</w:t>
      </w:r>
      <w:r>
        <w:rPr>
          <w:rFonts w:ascii="宋体" w:hAnsi="宋体"/>
        </w:rPr>
        <w:t>多个</w:t>
      </w:r>
      <w:r>
        <w:rPr>
          <w:rFonts w:hint="eastAsia" w:ascii="宋体" w:hAnsi="宋体"/>
        </w:rPr>
        <w:t>单元组成时，各单元可同时按本条文</w:t>
      </w:r>
      <w:r>
        <w:rPr>
          <w:rFonts w:ascii="宋体" w:hAnsi="宋体"/>
        </w:rPr>
        <w:t>执行</w:t>
      </w:r>
      <w:r>
        <w:rPr>
          <w:rFonts w:hint="eastAsia" w:ascii="宋体" w:hAnsi="宋体"/>
        </w:rPr>
        <w:t>；</w:t>
      </w:r>
    </w:p>
    <w:p>
      <w:pPr>
        <w:pStyle w:val="47"/>
        <w:ind w:firstLine="560"/>
        <w:rPr>
          <w:rFonts w:ascii="宋体" w:hAnsi="宋体"/>
        </w:rPr>
      </w:pPr>
      <w:r>
        <w:rPr>
          <w:rFonts w:hint="eastAsia" w:ascii="宋体" w:hAnsi="宋体"/>
        </w:rPr>
        <w:t>（</w:t>
      </w:r>
      <w:r>
        <w:rPr>
          <w:rFonts w:ascii="宋体" w:hAnsi="宋体"/>
        </w:rPr>
        <w:t>10</w:t>
      </w:r>
      <w:r>
        <w:rPr>
          <w:rFonts w:hint="eastAsia" w:ascii="宋体" w:hAnsi="宋体"/>
        </w:rPr>
        <w:t>）可</w:t>
      </w:r>
      <w:r>
        <w:rPr>
          <w:rFonts w:ascii="宋体" w:hAnsi="宋体"/>
        </w:rPr>
        <w:t>扣除的</w:t>
      </w:r>
      <w:r>
        <w:rPr>
          <w:rFonts w:hint="eastAsia" w:ascii="宋体" w:hAnsi="宋体"/>
        </w:rPr>
        <w:t>“公共通道和</w:t>
      </w:r>
      <w:r>
        <w:rPr>
          <w:rFonts w:ascii="宋体" w:hAnsi="宋体"/>
        </w:rPr>
        <w:t>前室</w:t>
      </w:r>
      <w:r>
        <w:rPr>
          <w:rFonts w:hint="eastAsia" w:ascii="宋体" w:hAnsi="宋体"/>
        </w:rPr>
        <w:t>”的面积不</w:t>
      </w:r>
      <w:r>
        <w:rPr>
          <w:rFonts w:ascii="宋体" w:hAnsi="宋体"/>
        </w:rPr>
        <w:t>包含</w:t>
      </w:r>
      <w:r>
        <w:rPr>
          <w:rFonts w:hint="eastAsia" w:ascii="宋体" w:hAnsi="宋体"/>
        </w:rPr>
        <w:t>楼梯间（平台和梯段）、水电管井、结构连板部位的</w:t>
      </w:r>
      <w:r>
        <w:rPr>
          <w:rFonts w:ascii="宋体" w:hAnsi="宋体"/>
        </w:rPr>
        <w:t>面积</w:t>
      </w:r>
      <w:r>
        <w:rPr>
          <w:rFonts w:hint="eastAsia" w:ascii="宋体" w:hAnsi="宋体"/>
        </w:rPr>
        <w:t>。</w:t>
      </w:r>
    </w:p>
    <w:p>
      <w:pPr>
        <w:pStyle w:val="47"/>
        <w:ind w:firstLine="560"/>
        <w:rPr>
          <w:rFonts w:ascii="宋体" w:hAnsi="宋体"/>
        </w:rPr>
      </w:pPr>
    </w:p>
    <w:p>
      <w:pPr>
        <w:pStyle w:val="24"/>
        <w:tabs>
          <w:tab w:val="left" w:pos="851"/>
        </w:tabs>
        <w:rPr>
          <w:rFonts w:ascii="宋体" w:hAnsi="宋体"/>
        </w:rPr>
      </w:pPr>
      <w:r>
        <w:rPr>
          <w:rFonts w:hint="eastAsia" w:ascii="宋体" w:hAnsi="宋体"/>
          <w:b/>
          <w:bCs/>
        </w:rPr>
        <w:t>4</w:t>
      </w:r>
      <w:r>
        <w:rPr>
          <w:rFonts w:ascii="宋体" w:hAnsi="宋体"/>
          <w:b/>
          <w:bCs/>
        </w:rPr>
        <w:t>.2.5</w:t>
      </w:r>
      <w:r>
        <w:rPr>
          <w:rFonts w:ascii="宋体" w:hAnsi="宋体"/>
        </w:rPr>
        <w:tab/>
      </w:r>
      <w:r>
        <w:rPr>
          <w:rFonts w:hint="eastAsia" w:ascii="宋体" w:hAnsi="宋体"/>
        </w:rPr>
        <w:t>本条规定了可认定为装配式楼板、屋面板的主要情况，其中第1、2款的规定主要是便于简化计算。金属楼承板包括压型钢板、钢筋桁架楼承板等在施工现场免支模的楼(屋)盖体系，是钢结构建筑中最常用的楼板类型。</w:t>
      </w:r>
    </w:p>
    <w:p>
      <w:pPr>
        <w:pStyle w:val="45"/>
        <w:spacing w:before="156" w:after="156"/>
        <w:rPr>
          <w:rFonts w:ascii="宋体" w:hAnsi="宋体"/>
        </w:rPr>
      </w:pPr>
      <w:bookmarkStart w:id="37" w:name="_Toc133412707"/>
      <w:r>
        <w:rPr>
          <w:rFonts w:hint="eastAsia" w:ascii="宋体" w:hAnsi="宋体"/>
        </w:rPr>
        <w:t xml:space="preserve">4.3 </w:t>
      </w:r>
      <w:r>
        <w:rPr>
          <w:rFonts w:hint="eastAsia" w:ascii="宋体" w:hAnsi="宋体"/>
          <w:szCs w:val="28"/>
        </w:rPr>
        <w:t>围护</w:t>
      </w:r>
      <w:r>
        <w:rPr>
          <w:rFonts w:hint="eastAsia" w:ascii="宋体" w:hAnsi="宋体"/>
        </w:rPr>
        <w:t>墙和内隔墙</w:t>
      </w:r>
      <w:bookmarkEnd w:id="37"/>
    </w:p>
    <w:p>
      <w:pPr>
        <w:pStyle w:val="24"/>
        <w:tabs>
          <w:tab w:val="left" w:pos="851"/>
        </w:tabs>
        <w:rPr>
          <w:rFonts w:ascii="宋体" w:hAnsi="宋体"/>
        </w:rPr>
      </w:pPr>
      <w:r>
        <w:rPr>
          <w:rFonts w:ascii="宋体" w:hAnsi="宋体"/>
          <w:b/>
          <w:bCs/>
        </w:rPr>
        <w:t>4.3.1</w:t>
      </w:r>
      <w:r>
        <w:rPr>
          <w:rFonts w:ascii="宋体" w:hAnsi="宋体"/>
        </w:rPr>
        <w:tab/>
      </w:r>
      <w:r>
        <w:rPr>
          <w:rFonts w:hint="eastAsia" w:ascii="宋体" w:hAnsi="宋体"/>
        </w:rPr>
        <w:t>新型建筑围护墙体的应用对提高建筑质量和品质、建造模式的改变等都具有重要意义，积极引导和逐步推广新型建筑围护墙体也是装配式建筑的重点工作。非砌筑是新型建筑围护墙体的共同特征之一，非砌筑类型墙体包括各种中大型板材、幕墙、木骨架或轻钢骨架复合墙体等，应满足工厂生产、现场集成安装、以“干法”施工为主的要求。</w:t>
      </w:r>
    </w:p>
    <w:p>
      <w:pPr>
        <w:pStyle w:val="47"/>
        <w:ind w:firstLine="560"/>
        <w:rPr>
          <w:rFonts w:ascii="宋体" w:hAnsi="宋体"/>
        </w:rPr>
      </w:pPr>
      <w:r>
        <w:rPr>
          <w:rFonts w:hint="eastAsia" w:ascii="宋体" w:hAnsi="宋体"/>
        </w:rPr>
        <w:t>当建筑围护墙体均为预制墙体和采用高精度模板浇筑的混凝土墙时，表4.1.2中Q</w:t>
      </w:r>
      <w:r>
        <w:rPr>
          <w:rFonts w:hint="eastAsia" w:ascii="宋体" w:hAnsi="宋体"/>
          <w:vertAlign w:val="subscript"/>
        </w:rPr>
        <w:t>2a</w:t>
      </w:r>
      <w:r>
        <w:rPr>
          <w:rFonts w:hint="eastAsia" w:ascii="宋体" w:hAnsi="宋体"/>
        </w:rPr>
        <w:t>得5分。</w:t>
      </w:r>
    </w:p>
    <w:p>
      <w:pPr>
        <w:pStyle w:val="47"/>
        <w:ind w:firstLine="560"/>
        <w:rPr>
          <w:rFonts w:ascii="宋体" w:hAnsi="宋体"/>
        </w:rPr>
      </w:pPr>
      <w:r>
        <w:rPr>
          <w:rFonts w:hint="eastAsia" w:ascii="宋体" w:hAnsi="宋体"/>
        </w:rPr>
        <w:t>门窗洞口上部或下部范围如果存在砌筑部分，则门窗洞口按照砌筑计入，如无砌筑则按照非砌筑计入。</w:t>
      </w:r>
    </w:p>
    <w:p>
      <w:pPr>
        <w:pStyle w:val="47"/>
        <w:ind w:firstLine="560"/>
        <w:rPr>
          <w:rFonts w:ascii="宋体" w:hAnsi="宋体"/>
        </w:rPr>
      </w:pPr>
      <w:r>
        <w:rPr>
          <w:rFonts w:hint="eastAsia" w:ascii="宋体" w:hAnsi="宋体"/>
        </w:rPr>
        <w:t>执行本条规定时还应注意以下内容：</w:t>
      </w:r>
    </w:p>
    <w:p>
      <w:pPr>
        <w:pStyle w:val="47"/>
        <w:ind w:firstLine="560"/>
        <w:rPr>
          <w:rFonts w:ascii="宋体" w:hAnsi="宋体"/>
        </w:rPr>
      </w:pPr>
      <w:r>
        <w:rPr>
          <w:rFonts w:hint="eastAsia" w:ascii="宋体" w:hAnsi="宋体"/>
        </w:rPr>
        <w:t>（1）敞开式阳台上的外墙、分户墙、窗户之间的防火隔墙、外立面装饰墙体均列入非承重围护墙的计算范围；</w:t>
      </w:r>
    </w:p>
    <w:p>
      <w:pPr>
        <w:pStyle w:val="47"/>
        <w:ind w:firstLine="560"/>
        <w:rPr>
          <w:rFonts w:ascii="宋体" w:hAnsi="宋体"/>
        </w:rPr>
      </w:pPr>
      <w:r>
        <w:rPr>
          <w:rFonts w:hint="eastAsia" w:ascii="宋体" w:hAnsi="宋体"/>
        </w:rPr>
        <w:t>（2）阳台的栏板、外走廊的栏板及屋顶女儿墙可不列入非承重围护墙的计算范围。</w:t>
      </w:r>
    </w:p>
    <w:p>
      <w:pPr>
        <w:pStyle w:val="24"/>
        <w:tabs>
          <w:tab w:val="left" w:pos="851"/>
        </w:tabs>
        <w:rPr>
          <w:rFonts w:ascii="宋体" w:hAnsi="宋体"/>
        </w:rPr>
      </w:pPr>
      <w:r>
        <w:rPr>
          <w:rFonts w:hint="eastAsia" w:ascii="宋体" w:hAnsi="宋体"/>
          <w:b/>
          <w:bCs/>
        </w:rPr>
        <w:t>4</w:t>
      </w:r>
      <w:r>
        <w:rPr>
          <w:rFonts w:ascii="宋体" w:hAnsi="宋体"/>
          <w:b/>
          <w:bCs/>
        </w:rPr>
        <w:t>.3.2</w:t>
      </w:r>
      <w:r>
        <w:rPr>
          <w:rFonts w:ascii="宋体" w:hAnsi="宋体"/>
        </w:rPr>
        <w:tab/>
      </w:r>
      <w:r>
        <w:rPr>
          <w:rFonts w:hint="eastAsia" w:ascii="宋体" w:hAnsi="宋体"/>
        </w:rPr>
        <w:t>围护墙采用墙体、保温、隔热、装饰一体化强调的是“集成性”，通过集成，满足结构、保温、隔热、装饰要求。同时还强调了从设计阶段需进行一体化集成设计，实现多功能一体的“围护墙系统”。</w:t>
      </w:r>
    </w:p>
    <w:p>
      <w:pPr>
        <w:pStyle w:val="24"/>
        <w:tabs>
          <w:tab w:val="left" w:pos="851"/>
        </w:tabs>
        <w:rPr>
          <w:rFonts w:ascii="宋体" w:hAnsi="宋体"/>
        </w:rPr>
      </w:pPr>
      <w:r>
        <w:rPr>
          <w:rFonts w:hint="eastAsia" w:ascii="宋体" w:hAnsi="宋体"/>
        </w:rPr>
        <w:t>一体化的集成过程应采用干式作业方式，既可以在工厂完成一体化的集成，也可以在现场应用干式作业进行集成。</w:t>
      </w:r>
    </w:p>
    <w:p>
      <w:pPr>
        <w:pStyle w:val="47"/>
        <w:ind w:firstLine="560"/>
        <w:rPr>
          <w:rFonts w:ascii="宋体" w:hAnsi="宋体"/>
        </w:rPr>
      </w:pPr>
      <w:r>
        <w:rPr>
          <w:rFonts w:hint="eastAsia" w:ascii="宋体" w:hAnsi="宋体"/>
        </w:rPr>
        <w:t>当承重围护墙采用一体化时，则分子和分母均考虑承重竖向构件的面积。</w:t>
      </w:r>
    </w:p>
    <w:p>
      <w:pPr>
        <w:pStyle w:val="47"/>
        <w:ind w:firstLine="560"/>
        <w:rPr>
          <w:rFonts w:ascii="宋体" w:hAnsi="宋体"/>
        </w:rPr>
      </w:pPr>
      <w:r>
        <w:rPr>
          <w:rFonts w:hint="eastAsia" w:ascii="宋体" w:hAnsi="宋体"/>
        </w:rPr>
        <w:t>当墙体采用免抹灰工艺时，装饰效果应满足建筑使用功能要求。</w:t>
      </w:r>
    </w:p>
    <w:p>
      <w:pPr>
        <w:pStyle w:val="24"/>
        <w:tabs>
          <w:tab w:val="left" w:pos="851"/>
        </w:tabs>
        <w:rPr>
          <w:rFonts w:ascii="宋体" w:hAnsi="宋体"/>
        </w:rPr>
      </w:pPr>
      <w:r>
        <w:rPr>
          <w:rFonts w:hint="eastAsia" w:ascii="宋体" w:hAnsi="宋体"/>
          <w:b/>
          <w:bCs/>
        </w:rPr>
        <w:t>4</w:t>
      </w:r>
      <w:r>
        <w:rPr>
          <w:rFonts w:ascii="宋体" w:hAnsi="宋体"/>
          <w:b/>
          <w:bCs/>
        </w:rPr>
        <w:t>.3.3</w:t>
      </w:r>
      <w:r>
        <w:rPr>
          <w:rFonts w:ascii="宋体" w:hAnsi="宋体"/>
          <w:b/>
          <w:bCs/>
        </w:rPr>
        <w:tab/>
      </w:r>
      <w:r>
        <w:rPr>
          <w:rFonts w:hint="eastAsia" w:ascii="宋体" w:hAnsi="宋体"/>
        </w:rPr>
        <w:t>内隔墙不包含剪力墙等承重竖向构件。</w:t>
      </w:r>
    </w:p>
    <w:p>
      <w:pPr>
        <w:pStyle w:val="47"/>
        <w:ind w:firstLine="560"/>
        <w:rPr>
          <w:rFonts w:ascii="宋体" w:hAnsi="宋体"/>
        </w:rPr>
      </w:pPr>
      <w:r>
        <w:rPr>
          <w:rFonts w:hint="eastAsia" w:ascii="宋体" w:hAnsi="宋体"/>
        </w:rPr>
        <w:t>门窗洞口上部或下部范围如果存在砌筑部分，则门窗洞口按照砌筑计入，如无砌筑则按照非砌筑计入。</w:t>
      </w:r>
    </w:p>
    <w:p>
      <w:pPr>
        <w:pStyle w:val="47"/>
        <w:ind w:firstLine="560"/>
        <w:rPr>
          <w:rFonts w:ascii="宋体" w:hAnsi="宋体"/>
        </w:rPr>
      </w:pPr>
      <w:r>
        <w:rPr>
          <w:rFonts w:hint="eastAsia" w:ascii="宋体" w:hAnsi="宋体"/>
        </w:rPr>
        <w:t>现浇</w:t>
      </w:r>
      <w:r>
        <w:rPr>
          <w:rFonts w:ascii="宋体" w:hAnsi="宋体"/>
        </w:rPr>
        <w:t>内隔墙按照砌筑计</w:t>
      </w:r>
      <w:r>
        <w:rPr>
          <w:rFonts w:hint="eastAsia" w:ascii="宋体" w:hAnsi="宋体"/>
        </w:rPr>
        <w:t>入；当内隔墙设置的构造柱，采用高精度模板浇筑且宽度等于墙厚，沿墙长度≤400mm时，按照非砌筑</w:t>
      </w:r>
      <w:r>
        <w:rPr>
          <w:rFonts w:ascii="宋体" w:hAnsi="宋体"/>
        </w:rPr>
        <w:t>计入。</w:t>
      </w:r>
    </w:p>
    <w:p>
      <w:pPr>
        <w:pStyle w:val="24"/>
        <w:tabs>
          <w:tab w:val="left" w:pos="851"/>
        </w:tabs>
        <w:rPr>
          <w:rFonts w:ascii="宋体" w:hAnsi="宋体"/>
        </w:rPr>
      </w:pPr>
      <w:r>
        <w:rPr>
          <w:rFonts w:hint="eastAsia" w:ascii="宋体" w:hAnsi="宋体"/>
          <w:b/>
          <w:bCs/>
        </w:rPr>
        <w:t>4</w:t>
      </w:r>
      <w:r>
        <w:rPr>
          <w:rFonts w:ascii="宋体" w:hAnsi="宋体"/>
          <w:b/>
          <w:bCs/>
        </w:rPr>
        <w:t>.3.4</w:t>
      </w:r>
      <w:r>
        <w:rPr>
          <w:rFonts w:ascii="宋体" w:hAnsi="宋体"/>
          <w:b/>
          <w:bCs/>
        </w:rPr>
        <w:tab/>
      </w:r>
      <w:r>
        <w:rPr>
          <w:rFonts w:hint="eastAsia" w:ascii="宋体" w:hAnsi="宋体"/>
        </w:rPr>
        <w:t>内隔墙采用墙体、管线、装修一体化强调的是“集成性”。内隔墙从设计阶段就需进行一体化集成设计，在管线综合设计的基础上，实现墙体与管线的集成以及土建与装修的一体化，从而形成“内隔墙系统”。</w:t>
      </w:r>
    </w:p>
    <w:p>
      <w:pPr>
        <w:pStyle w:val="47"/>
        <w:ind w:firstLine="560"/>
        <w:rPr>
          <w:rFonts w:ascii="宋体" w:hAnsi="宋体"/>
        </w:rPr>
      </w:pPr>
      <w:r>
        <w:rPr>
          <w:rFonts w:hint="eastAsia" w:ascii="宋体" w:hAnsi="宋体"/>
        </w:rPr>
        <w:t>一体化的集成过程应采用干式作业方式，既可以在工厂完成一体化的集成，也可以在现场应用干式作业进行集成。</w:t>
      </w:r>
    </w:p>
    <w:p>
      <w:pPr>
        <w:pStyle w:val="47"/>
        <w:ind w:firstLine="560"/>
        <w:rPr>
          <w:rFonts w:ascii="宋体" w:hAnsi="宋体"/>
        </w:rPr>
      </w:pPr>
      <w:r>
        <w:rPr>
          <w:rFonts w:hint="eastAsia" w:ascii="宋体" w:hAnsi="宋体"/>
        </w:rPr>
        <w:t>当墙体采用免抹灰工艺时，装修效果应满足建筑使用功能要求。</w:t>
      </w:r>
    </w:p>
    <w:p>
      <w:pPr>
        <w:pStyle w:val="45"/>
        <w:spacing w:before="156" w:after="156"/>
        <w:rPr>
          <w:rFonts w:ascii="宋体" w:hAnsi="宋体"/>
        </w:rPr>
      </w:pPr>
      <w:bookmarkStart w:id="38" w:name="_Toc133412708"/>
      <w:r>
        <w:rPr>
          <w:rFonts w:hint="eastAsia" w:ascii="宋体" w:hAnsi="宋体"/>
        </w:rPr>
        <w:t>4.</w:t>
      </w:r>
      <w:r>
        <w:rPr>
          <w:rFonts w:ascii="宋体" w:hAnsi="宋体"/>
        </w:rPr>
        <w:t>4</w:t>
      </w:r>
      <w:r>
        <w:rPr>
          <w:rFonts w:hint="eastAsia" w:ascii="宋体" w:hAnsi="宋体"/>
        </w:rPr>
        <w:t xml:space="preserve"> 装修和设备管线</w:t>
      </w:r>
      <w:bookmarkEnd w:id="38"/>
    </w:p>
    <w:p>
      <w:pPr>
        <w:pStyle w:val="47"/>
        <w:ind w:firstLineChars="71"/>
        <w:rPr>
          <w:rFonts w:ascii="宋体" w:hAnsi="宋体"/>
        </w:rPr>
      </w:pPr>
      <w:r>
        <w:rPr>
          <w:rFonts w:hint="eastAsia" w:ascii="宋体" w:hAnsi="宋体"/>
          <w:b/>
          <w:bCs/>
          <w:iCs/>
        </w:rPr>
        <w:t>4.4.1</w:t>
      </w:r>
      <w:r>
        <w:rPr>
          <w:rFonts w:ascii="宋体" w:hAnsi="宋体"/>
          <w:b/>
          <w:bCs/>
        </w:rPr>
        <w:tab/>
      </w:r>
      <w:r>
        <w:rPr>
          <w:rFonts w:hint="eastAsia" w:ascii="宋体" w:hAnsi="宋体"/>
        </w:rPr>
        <w:t>全装修标准参考：</w:t>
      </w:r>
    </w:p>
    <w:p>
      <w:pPr>
        <w:pStyle w:val="47"/>
        <w:ind w:firstLine="560"/>
        <w:rPr>
          <w:rFonts w:ascii="宋体" w:hAnsi="宋体"/>
        </w:rPr>
      </w:pPr>
      <w:r>
        <w:rPr>
          <w:rFonts w:hint="eastAsia" w:ascii="宋体" w:hAnsi="宋体"/>
        </w:rPr>
        <w:t>1）公共区域墙面完成干挂、粉刷、铺贴等饰面，地面完成干铺、铺贴、打磨等，天花板完成吊顶、粉刷等；</w:t>
      </w:r>
    </w:p>
    <w:p>
      <w:pPr>
        <w:pStyle w:val="47"/>
        <w:ind w:firstLine="560"/>
        <w:rPr>
          <w:rFonts w:ascii="宋体" w:hAnsi="宋体"/>
        </w:rPr>
      </w:pPr>
      <w:r>
        <w:rPr>
          <w:rFonts w:hint="eastAsia" w:ascii="宋体" w:hAnsi="宋体"/>
        </w:rPr>
        <w:t>2）厨房墙面、地面完成铺贴等饰面，天花板完成吊顶、粉刷等，开关、插座、灯、房门等安装到位，给排水点位、燃气点位预留到位；</w:t>
      </w:r>
    </w:p>
    <w:p>
      <w:pPr>
        <w:pStyle w:val="47"/>
        <w:ind w:firstLine="560"/>
        <w:rPr>
          <w:rFonts w:ascii="宋体" w:hAnsi="宋体"/>
        </w:rPr>
      </w:pPr>
      <w:r>
        <w:rPr>
          <w:rFonts w:hint="eastAsia" w:ascii="宋体" w:hAnsi="宋体"/>
        </w:rPr>
        <w:t>3）卫生间墙面、地面完成铺贴等饰面，天花板完成吊顶、粉刷等，地漏、开关、插座、灯、房门安装到位，燃气、给排水点位预留到位；</w:t>
      </w:r>
    </w:p>
    <w:p>
      <w:pPr>
        <w:pStyle w:val="47"/>
        <w:ind w:firstLine="560"/>
        <w:rPr>
          <w:rFonts w:ascii="宋体" w:hAnsi="宋体"/>
        </w:rPr>
      </w:pPr>
      <w:r>
        <w:rPr>
          <w:rFonts w:hint="eastAsia" w:ascii="宋体" w:hAnsi="宋体"/>
        </w:rPr>
        <w:t>4）阳台墙面、地面完成铺贴等饰面，天花板完成吊顶、粉刷等，地漏、开关、灯、插座安装到位，给排水点位预留到位；</w:t>
      </w:r>
    </w:p>
    <w:p>
      <w:pPr>
        <w:pStyle w:val="47"/>
        <w:ind w:firstLine="560"/>
        <w:rPr>
          <w:rFonts w:ascii="宋体" w:hAnsi="宋体"/>
        </w:rPr>
      </w:pPr>
      <w:r>
        <w:rPr>
          <w:rFonts w:hint="eastAsia" w:ascii="宋体" w:hAnsi="宋体"/>
        </w:rPr>
        <w:t>5）其他功能房间墙面完成粉刷、铺贴等饰面，地面完成干铺、铺贴、打磨等，天花板完成吊顶、粉刷等，房门、开关、插座等安装完成，空调孔洞预留到位。</w:t>
      </w:r>
    </w:p>
    <w:p>
      <w:pPr>
        <w:pStyle w:val="24"/>
        <w:rPr>
          <w:rFonts w:ascii="宋体" w:hAnsi="宋体"/>
        </w:rPr>
      </w:pPr>
      <w:r>
        <w:rPr>
          <w:rFonts w:hint="eastAsia" w:ascii="宋体" w:hAnsi="宋体"/>
          <w:b/>
          <w:bCs/>
          <w:iCs/>
        </w:rPr>
        <w:t>4.4.2</w:t>
      </w:r>
      <w:r>
        <w:rPr>
          <w:rFonts w:ascii="宋体" w:hAnsi="宋体"/>
          <w:b/>
          <w:bCs/>
        </w:rPr>
        <w:tab/>
      </w:r>
      <w:r>
        <w:rPr>
          <w:rFonts w:hint="eastAsia" w:ascii="宋体" w:hAnsi="宋体"/>
        </w:rPr>
        <w:t>考虑到</w:t>
      </w:r>
      <w:r>
        <w:rPr>
          <w:rFonts w:ascii="宋体" w:hAnsi="宋体"/>
        </w:rPr>
        <w:t>实际工程情况，</w:t>
      </w:r>
      <w:r>
        <w:rPr>
          <w:rFonts w:hint="eastAsia" w:ascii="宋体" w:hAnsi="宋体"/>
        </w:rPr>
        <w:t>“</w:t>
      </w:r>
      <w:r>
        <w:rPr>
          <w:rFonts w:ascii="宋体" w:hAnsi="宋体"/>
        </w:rPr>
        <w:t>公共区域</w:t>
      </w:r>
      <w:r>
        <w:rPr>
          <w:rFonts w:hint="eastAsia" w:ascii="宋体" w:hAnsi="宋体"/>
        </w:rPr>
        <w:t>”</w:t>
      </w:r>
      <w:r>
        <w:rPr>
          <w:rFonts w:ascii="宋体" w:hAnsi="宋体"/>
        </w:rPr>
        <w:t>与</w:t>
      </w:r>
      <w:r>
        <w:rPr>
          <w:rFonts w:hint="eastAsia" w:ascii="宋体" w:hAnsi="宋体"/>
        </w:rPr>
        <w:t>“</w:t>
      </w:r>
      <w:r>
        <w:rPr>
          <w:rFonts w:ascii="宋体" w:hAnsi="宋体"/>
        </w:rPr>
        <w:t>户内</w:t>
      </w:r>
      <w:r>
        <w:rPr>
          <w:rFonts w:hint="eastAsia" w:ascii="宋体" w:hAnsi="宋体"/>
        </w:rPr>
        <w:t>区域”或“</w:t>
      </w:r>
      <w:r>
        <w:rPr>
          <w:rFonts w:ascii="宋体" w:hAnsi="宋体"/>
        </w:rPr>
        <w:t>功能房间</w:t>
      </w:r>
      <w:r>
        <w:rPr>
          <w:rFonts w:hint="eastAsia" w:ascii="宋体" w:hAnsi="宋体"/>
        </w:rPr>
        <w:t>区域”</w:t>
      </w:r>
      <w:r>
        <w:rPr>
          <w:rFonts w:ascii="宋体" w:hAnsi="宋体"/>
        </w:rPr>
        <w:t>分别计算</w:t>
      </w:r>
      <w:r>
        <w:rPr>
          <w:rFonts w:hint="eastAsia" w:ascii="宋体" w:hAnsi="宋体"/>
        </w:rPr>
        <w:t>应用</w:t>
      </w:r>
      <w:r>
        <w:rPr>
          <w:rFonts w:ascii="宋体" w:hAnsi="宋体"/>
        </w:rPr>
        <w:t>比例得分。</w:t>
      </w:r>
      <w:r>
        <w:rPr>
          <w:rFonts w:hint="eastAsia" w:ascii="宋体" w:hAnsi="宋体"/>
        </w:rPr>
        <w:t>“功能房间</w:t>
      </w:r>
      <w:r>
        <w:rPr>
          <w:rFonts w:ascii="宋体" w:hAnsi="宋体"/>
        </w:rPr>
        <w:t>区域</w:t>
      </w:r>
      <w:r>
        <w:rPr>
          <w:rFonts w:hint="eastAsia" w:ascii="宋体" w:hAnsi="宋体"/>
        </w:rPr>
        <w:t>”指</w:t>
      </w:r>
      <w:r>
        <w:rPr>
          <w:rFonts w:ascii="宋体" w:hAnsi="宋体"/>
        </w:rPr>
        <w:t>公共建筑中，除公共区域外的，已确定使用功能的室内区域。</w:t>
      </w:r>
    </w:p>
    <w:p>
      <w:pPr>
        <w:pStyle w:val="24"/>
        <w:ind w:firstLine="560" w:firstLineChars="200"/>
        <w:jc w:val="left"/>
        <w:rPr>
          <w:rFonts w:ascii="宋体" w:hAnsi="宋体"/>
        </w:rPr>
      </w:pPr>
      <w:r>
        <w:rPr>
          <w:rFonts w:hint="eastAsia" w:ascii="宋体" w:hAnsi="宋体"/>
        </w:rPr>
        <w:t>干式工法</w:t>
      </w:r>
      <w:r>
        <w:rPr>
          <w:rFonts w:ascii="宋体" w:hAnsi="宋体"/>
        </w:rPr>
        <w:t>吊顶：</w:t>
      </w:r>
      <w:r>
        <w:rPr>
          <w:rFonts w:hint="eastAsia" w:ascii="宋体" w:hAnsi="宋体"/>
        </w:rPr>
        <w:t>宜采用可拆卸式吊顶系统，吊顶内应设置可满足管线敷设的空间，饰面板材宜采用工厂化生产的带饰面层产品。</w:t>
      </w:r>
    </w:p>
    <w:p>
      <w:pPr>
        <w:pStyle w:val="24"/>
        <w:ind w:firstLine="560" w:firstLineChars="200"/>
        <w:jc w:val="left"/>
        <w:rPr>
          <w:rFonts w:ascii="宋体" w:hAnsi="宋体"/>
        </w:rPr>
      </w:pPr>
      <w:r>
        <w:rPr>
          <w:rFonts w:hint="eastAsia" w:ascii="宋体" w:hAnsi="宋体"/>
        </w:rPr>
        <w:t>干式工法墙面</w:t>
      </w:r>
      <w:r>
        <w:rPr>
          <w:rFonts w:ascii="宋体" w:hAnsi="宋体"/>
        </w:rPr>
        <w:t>：</w:t>
      </w:r>
      <w:r>
        <w:rPr>
          <w:rFonts w:hint="eastAsia" w:ascii="宋体" w:hAnsi="宋体"/>
        </w:rPr>
        <w:t>宜采用挂装、卡条固定和螺钉固定等干式工法连接方式，饰面板材宜采用工厂化生产的带饰面层产品。</w:t>
      </w:r>
    </w:p>
    <w:p>
      <w:pPr>
        <w:pStyle w:val="24"/>
        <w:ind w:firstLine="560" w:firstLineChars="200"/>
        <w:jc w:val="left"/>
        <w:rPr>
          <w:rFonts w:ascii="宋体" w:hAnsi="宋体"/>
        </w:rPr>
      </w:pPr>
      <w:r>
        <w:rPr>
          <w:rFonts w:hint="eastAsia" w:ascii="宋体" w:hAnsi="宋体"/>
        </w:rPr>
        <w:t>干式工法楼面、地面：宜由可调节支撑、基层衬板和饰面材料组成。</w:t>
      </w:r>
    </w:p>
    <w:p>
      <w:pPr>
        <w:pStyle w:val="24"/>
        <w:ind w:firstLine="560" w:firstLineChars="200"/>
        <w:jc w:val="left"/>
        <w:rPr>
          <w:rFonts w:ascii="宋体" w:hAnsi="宋体"/>
        </w:rPr>
      </w:pPr>
      <w:r>
        <w:rPr>
          <w:rFonts w:hint="eastAsia" w:ascii="宋体" w:hAnsi="宋体"/>
        </w:rPr>
        <w:t>当装饰基层满足免抹灰（精度4mm/2m）要求时，吊顶采用“龙骨吊顶+涂料”、墙面采用“腻子+墙纸”或“瓷砖薄贴”、楼地面采用“瓷砖薄贴”等非装配化干式工法工艺时，以上装修工程技术项可按乘以0.5调整系数得分。</w:t>
      </w:r>
    </w:p>
    <w:p>
      <w:pPr>
        <w:pStyle w:val="24"/>
        <w:ind w:firstLine="560" w:firstLineChars="200"/>
        <w:jc w:val="left"/>
        <w:rPr>
          <w:rFonts w:ascii="宋体" w:hAnsi="宋体"/>
        </w:rPr>
      </w:pPr>
      <w:r>
        <w:rPr>
          <w:rFonts w:hint="eastAsia" w:ascii="宋体" w:hAnsi="宋体"/>
        </w:rPr>
        <w:t>该项计算范围均不包括厨房和卫生间。</w:t>
      </w:r>
    </w:p>
    <w:p>
      <w:pPr>
        <w:widowControl/>
        <w:jc w:val="left"/>
        <w:rPr>
          <w:rFonts w:ascii="宋体" w:hAnsi="宋体"/>
          <w:sz w:val="28"/>
          <w:szCs w:val="28"/>
        </w:rPr>
      </w:pPr>
      <w:r>
        <w:rPr>
          <w:rFonts w:hint="eastAsia" w:ascii="宋体" w:hAnsi="宋体"/>
          <w:b/>
          <w:bCs/>
          <w:iCs/>
          <w:sz w:val="28"/>
          <w:szCs w:val="28"/>
        </w:rPr>
        <w:t>4.4.4</w:t>
      </w:r>
      <w:r>
        <w:rPr>
          <w:rFonts w:ascii="宋体" w:hAnsi="宋体"/>
          <w:b/>
          <w:bCs/>
        </w:rPr>
        <w:t xml:space="preserve"> </w:t>
      </w:r>
      <w:r>
        <w:rPr>
          <w:rFonts w:hint="eastAsia" w:ascii="宋体" w:hAnsi="宋体" w:cstheme="minorBidi"/>
          <w:sz w:val="28"/>
          <w:szCs w:val="28"/>
        </w:rPr>
        <w:t>卫生间采用整体卫生间时， 按50%≤整体卫浴应用比例≤80%，得4～6 分，应用比例按下式计算（不再</w:t>
      </w:r>
      <w:r>
        <w:rPr>
          <w:rFonts w:ascii="宋体" w:hAnsi="宋体" w:cstheme="minorBidi"/>
          <w:sz w:val="28"/>
          <w:szCs w:val="28"/>
        </w:rPr>
        <w:t>按</w:t>
      </w:r>
      <w:r>
        <w:rPr>
          <w:rFonts w:hint="eastAsia" w:ascii="宋体" w:hAnsi="宋体" w:cstheme="minorBidi"/>
          <w:sz w:val="28"/>
          <w:szCs w:val="28"/>
        </w:rPr>
        <w:t>正文中</w:t>
      </w:r>
      <w:r>
        <w:rPr>
          <w:rFonts w:ascii="宋体" w:hAnsi="宋体" w:cstheme="minorBidi"/>
          <w:sz w:val="28"/>
          <w:szCs w:val="28"/>
        </w:rPr>
        <w:t>吊顶、墙面和楼地面干法工艺应用比例</w:t>
      </w:r>
      <w:r>
        <w:rPr>
          <w:rFonts w:hint="eastAsia" w:ascii="宋体" w:hAnsi="宋体" w:cstheme="minorBidi"/>
          <w:sz w:val="28"/>
          <w:szCs w:val="28"/>
        </w:rPr>
        <w:t>计分）：</w:t>
      </w:r>
    </w:p>
    <w:p>
      <w:pPr>
        <w:widowControl/>
        <w:ind w:firstLine="555"/>
        <w:jc w:val="left"/>
        <w:rPr>
          <w:rFonts w:ascii="宋体" w:hAnsi="宋体" w:cstheme="minorBidi"/>
          <w:sz w:val="28"/>
          <w:szCs w:val="28"/>
        </w:rPr>
      </w:pPr>
      <w:r>
        <w:rPr>
          <w:rFonts w:hint="eastAsia" w:ascii="宋体" w:hAnsi="宋体" w:cstheme="minorBidi"/>
          <w:sz w:val="28"/>
          <w:szCs w:val="28"/>
        </w:rPr>
        <w:t xml:space="preserve">整体卫浴应用比例 </w:t>
      </w:r>
      <w:r>
        <w:rPr>
          <w:rFonts w:ascii="宋体" w:hAnsi="宋体" w:cstheme="minorBidi"/>
          <w:sz w:val="28"/>
          <w:szCs w:val="28"/>
        </w:rPr>
        <w:t xml:space="preserve">= </w:t>
      </w:r>
      <w:r>
        <w:rPr>
          <w:rFonts w:hint="eastAsia" w:ascii="宋体" w:hAnsi="宋体" w:cstheme="minorBidi"/>
          <w:sz w:val="28"/>
          <w:szCs w:val="28"/>
        </w:rPr>
        <w:t>各层整体卫浴总数量/各层卫生间总数量×100%；</w:t>
      </w:r>
    </w:p>
    <w:p>
      <w:pPr>
        <w:widowControl/>
        <w:ind w:firstLine="555"/>
        <w:jc w:val="left"/>
        <w:rPr>
          <w:rFonts w:ascii="宋体" w:hAnsi="宋体" w:cstheme="minorBidi"/>
          <w:sz w:val="28"/>
          <w:szCs w:val="28"/>
        </w:rPr>
      </w:pPr>
      <w:r>
        <w:rPr>
          <w:rFonts w:hint="eastAsia" w:ascii="宋体" w:hAnsi="宋体"/>
          <w:sz w:val="28"/>
          <w:szCs w:val="28"/>
        </w:rPr>
        <w:t>集成卫生间墙面计算高度，为卫生间楼面建筑完成面最高点至结构楼板板底的距离。</w:t>
      </w:r>
    </w:p>
    <w:p>
      <w:pPr>
        <w:widowControl/>
        <w:jc w:val="left"/>
        <w:rPr>
          <w:rFonts w:ascii="宋体" w:hAnsi="宋体" w:cstheme="minorBidi"/>
          <w:sz w:val="28"/>
          <w:szCs w:val="28"/>
        </w:rPr>
      </w:pPr>
      <w:r>
        <w:rPr>
          <w:rFonts w:hint="eastAsia" w:ascii="宋体" w:hAnsi="宋体"/>
          <w:b/>
          <w:bCs/>
          <w:iCs/>
          <w:sz w:val="28"/>
          <w:szCs w:val="28"/>
        </w:rPr>
        <w:t>4.4.5</w:t>
      </w:r>
      <w:r>
        <w:rPr>
          <w:rFonts w:ascii="宋体" w:hAnsi="宋体"/>
          <w:b/>
          <w:bCs/>
        </w:rPr>
        <w:tab/>
      </w:r>
      <w:r>
        <w:rPr>
          <w:rFonts w:hint="eastAsia" w:ascii="宋体" w:hAnsi="宋体" w:cstheme="minorBidi"/>
          <w:sz w:val="28"/>
          <w:szCs w:val="28"/>
        </w:rPr>
        <w:t>考虑到工程实际情况，将</w:t>
      </w:r>
      <w:r>
        <w:rPr>
          <w:rFonts w:ascii="宋体" w:hAnsi="宋体" w:cstheme="minorBidi"/>
          <w:sz w:val="28"/>
          <w:szCs w:val="28"/>
        </w:rPr>
        <w:t>管线分离技术项</w:t>
      </w:r>
      <w:r>
        <w:rPr>
          <w:rFonts w:hint="eastAsia" w:ascii="宋体" w:hAnsi="宋体" w:cstheme="minorBidi"/>
          <w:sz w:val="28"/>
          <w:szCs w:val="28"/>
        </w:rPr>
        <w:t>分成了</w:t>
      </w:r>
      <w:r>
        <w:rPr>
          <w:rFonts w:ascii="宋体" w:hAnsi="宋体" w:cstheme="minorBidi"/>
          <w:sz w:val="28"/>
          <w:szCs w:val="28"/>
        </w:rPr>
        <w:t>水管、电气</w:t>
      </w:r>
      <w:r>
        <w:rPr>
          <w:rFonts w:hint="eastAsia" w:ascii="宋体" w:hAnsi="宋体" w:cstheme="minorBidi"/>
          <w:sz w:val="28"/>
          <w:szCs w:val="28"/>
        </w:rPr>
        <w:t>管线</w:t>
      </w:r>
      <w:r>
        <w:rPr>
          <w:rFonts w:ascii="宋体" w:hAnsi="宋体" w:cstheme="minorBidi"/>
          <w:sz w:val="28"/>
          <w:szCs w:val="28"/>
        </w:rPr>
        <w:t>和通风、供暖管线</w:t>
      </w:r>
      <w:r>
        <w:rPr>
          <w:rFonts w:hint="eastAsia" w:ascii="宋体" w:hAnsi="宋体" w:cstheme="minorBidi"/>
          <w:sz w:val="28"/>
          <w:szCs w:val="28"/>
        </w:rPr>
        <w:t>三项</w:t>
      </w:r>
      <w:r>
        <w:rPr>
          <w:rFonts w:ascii="宋体" w:hAnsi="宋体" w:cstheme="minorBidi"/>
          <w:sz w:val="28"/>
          <w:szCs w:val="28"/>
        </w:rPr>
        <w:t>分别</w:t>
      </w:r>
      <w:r>
        <w:rPr>
          <w:rFonts w:hint="eastAsia" w:ascii="宋体" w:hAnsi="宋体" w:cstheme="minorBidi"/>
          <w:sz w:val="28"/>
          <w:szCs w:val="28"/>
        </w:rPr>
        <w:t>计分；在</w:t>
      </w:r>
      <w:r>
        <w:rPr>
          <w:rFonts w:ascii="宋体" w:hAnsi="宋体" w:cstheme="minorBidi"/>
          <w:sz w:val="28"/>
          <w:szCs w:val="28"/>
        </w:rPr>
        <w:t>相关文件表达时，</w:t>
      </w:r>
      <w:r>
        <w:rPr>
          <w:rFonts w:hint="eastAsia" w:ascii="宋体" w:hAnsi="宋体" w:cstheme="minorBidi"/>
          <w:sz w:val="32"/>
          <w:szCs w:val="28"/>
        </w:rPr>
        <w:t>q</w:t>
      </w:r>
      <w:r>
        <w:rPr>
          <w:rFonts w:hint="eastAsia" w:ascii="宋体" w:hAnsi="宋体" w:cstheme="minorBidi"/>
          <w:sz w:val="32"/>
          <w:szCs w:val="28"/>
          <w:vertAlign w:val="subscript"/>
        </w:rPr>
        <w:t>3e</w:t>
      </w:r>
      <w:r>
        <w:rPr>
          <w:rFonts w:hint="eastAsia" w:ascii="宋体" w:hAnsi="宋体" w:cstheme="minorBidi"/>
          <w:sz w:val="28"/>
          <w:szCs w:val="28"/>
        </w:rPr>
        <w:t>可按专业区分为</w:t>
      </w:r>
      <w:r>
        <w:rPr>
          <w:rFonts w:hint="eastAsia" w:ascii="宋体" w:hAnsi="宋体" w:cstheme="minorBidi"/>
          <w:sz w:val="32"/>
          <w:szCs w:val="32"/>
        </w:rPr>
        <w:t>q</w:t>
      </w:r>
      <w:r>
        <w:rPr>
          <w:rFonts w:hint="eastAsia" w:ascii="宋体" w:hAnsi="宋体" w:cstheme="minorBidi"/>
          <w:sz w:val="32"/>
          <w:szCs w:val="28"/>
          <w:vertAlign w:val="subscript"/>
        </w:rPr>
        <w:t>3e</w:t>
      </w:r>
      <w:r>
        <w:rPr>
          <w:rFonts w:hint="eastAsia" w:ascii="宋体" w:hAnsi="宋体" w:cstheme="minorBidi"/>
          <w:sz w:val="28"/>
          <w:szCs w:val="28"/>
        </w:rPr>
        <w:t>水、</w:t>
      </w:r>
      <w:r>
        <w:rPr>
          <w:rFonts w:hint="eastAsia" w:ascii="宋体" w:hAnsi="宋体" w:cstheme="minorBidi"/>
          <w:sz w:val="32"/>
          <w:szCs w:val="32"/>
        </w:rPr>
        <w:t>q</w:t>
      </w:r>
      <w:r>
        <w:rPr>
          <w:rFonts w:hint="eastAsia" w:ascii="宋体" w:hAnsi="宋体" w:cstheme="minorBidi"/>
          <w:sz w:val="32"/>
          <w:szCs w:val="28"/>
          <w:vertAlign w:val="subscript"/>
        </w:rPr>
        <w:t>3e</w:t>
      </w:r>
      <w:r>
        <w:rPr>
          <w:rFonts w:hint="eastAsia" w:ascii="宋体" w:hAnsi="宋体" w:cstheme="minorBidi"/>
          <w:sz w:val="28"/>
          <w:szCs w:val="28"/>
        </w:rPr>
        <w:t>电、</w:t>
      </w:r>
      <w:r>
        <w:rPr>
          <w:rFonts w:hint="eastAsia" w:ascii="宋体" w:hAnsi="宋体" w:cstheme="minorBidi"/>
          <w:sz w:val="32"/>
          <w:szCs w:val="28"/>
        </w:rPr>
        <w:t>q</w:t>
      </w:r>
      <w:r>
        <w:rPr>
          <w:rFonts w:hint="eastAsia" w:ascii="宋体" w:hAnsi="宋体" w:cstheme="minorBidi"/>
          <w:sz w:val="32"/>
          <w:szCs w:val="28"/>
          <w:vertAlign w:val="subscript"/>
        </w:rPr>
        <w:t>3e</w:t>
      </w:r>
      <w:r>
        <w:rPr>
          <w:rFonts w:hint="eastAsia" w:ascii="宋体" w:hAnsi="宋体" w:cstheme="minorBidi"/>
          <w:sz w:val="28"/>
          <w:szCs w:val="28"/>
        </w:rPr>
        <w:t>暖，L</w:t>
      </w:r>
      <w:r>
        <w:rPr>
          <w:rFonts w:hint="eastAsia" w:ascii="宋体" w:hAnsi="宋体" w:cstheme="minorBidi"/>
          <w:sz w:val="32"/>
          <w:szCs w:val="28"/>
          <w:vertAlign w:val="subscript"/>
        </w:rPr>
        <w:t>3e</w:t>
      </w:r>
      <w:r>
        <w:rPr>
          <w:rFonts w:hint="eastAsia" w:ascii="宋体" w:hAnsi="宋体" w:cstheme="minorBidi"/>
          <w:sz w:val="28"/>
          <w:szCs w:val="28"/>
        </w:rPr>
        <w:t>可按专业区分为L</w:t>
      </w:r>
      <w:r>
        <w:rPr>
          <w:rFonts w:hint="eastAsia" w:ascii="宋体" w:hAnsi="宋体" w:cstheme="minorBidi"/>
          <w:sz w:val="32"/>
          <w:szCs w:val="28"/>
          <w:vertAlign w:val="subscript"/>
        </w:rPr>
        <w:t>3e</w:t>
      </w:r>
      <w:r>
        <w:rPr>
          <w:rFonts w:hint="eastAsia" w:ascii="宋体" w:hAnsi="宋体" w:cstheme="minorBidi"/>
          <w:sz w:val="28"/>
          <w:szCs w:val="28"/>
        </w:rPr>
        <w:t>水、L</w:t>
      </w:r>
      <w:r>
        <w:rPr>
          <w:rFonts w:hint="eastAsia" w:ascii="宋体" w:hAnsi="宋体" w:cstheme="minorBidi"/>
          <w:sz w:val="32"/>
          <w:szCs w:val="28"/>
          <w:vertAlign w:val="subscript"/>
        </w:rPr>
        <w:t>3e</w:t>
      </w:r>
      <w:r>
        <w:rPr>
          <w:rFonts w:hint="eastAsia" w:ascii="宋体" w:hAnsi="宋体" w:cstheme="minorBidi"/>
          <w:sz w:val="28"/>
          <w:szCs w:val="28"/>
        </w:rPr>
        <w:t>电、L</w:t>
      </w:r>
      <w:r>
        <w:rPr>
          <w:rFonts w:hint="eastAsia" w:ascii="宋体" w:hAnsi="宋体" w:cstheme="minorBidi"/>
          <w:sz w:val="32"/>
          <w:szCs w:val="28"/>
          <w:vertAlign w:val="subscript"/>
        </w:rPr>
        <w:t>3e</w:t>
      </w:r>
      <w:r>
        <w:rPr>
          <w:rFonts w:hint="eastAsia" w:ascii="宋体" w:hAnsi="宋体" w:cstheme="minorBidi"/>
          <w:sz w:val="28"/>
          <w:szCs w:val="28"/>
        </w:rPr>
        <w:t>暖，L可按专业区分为L水、L电、L暖；</w:t>
      </w:r>
    </w:p>
    <w:p>
      <w:pPr>
        <w:widowControl/>
        <w:ind w:firstLine="555"/>
        <w:jc w:val="left"/>
        <w:rPr>
          <w:rFonts w:ascii="宋体" w:hAnsi="宋体"/>
          <w:sz w:val="28"/>
          <w:szCs w:val="28"/>
        </w:rPr>
      </w:pPr>
      <w:r>
        <w:rPr>
          <w:rFonts w:hint="eastAsia" w:ascii="宋体" w:hAnsi="宋体"/>
          <w:sz w:val="28"/>
          <w:szCs w:val="28"/>
        </w:rPr>
        <w:t>设计阶段可按设计图中所绘制的管线排布长度计算；电气管线的长度统一按线管、线槽、桥架的长度计算；</w:t>
      </w:r>
    </w:p>
    <w:p>
      <w:pPr>
        <w:pStyle w:val="24"/>
        <w:ind w:firstLine="560" w:firstLineChars="200"/>
        <w:rPr>
          <w:rFonts w:ascii="宋体" w:hAnsi="宋体" w:cstheme="minorBidi"/>
        </w:rPr>
      </w:pPr>
      <w:r>
        <w:rPr>
          <w:rFonts w:hint="eastAsia" w:ascii="宋体" w:hAnsi="宋体" w:cstheme="minorBidi"/>
        </w:rPr>
        <w:t>对于裸露于室内空间以及敷设在地面架空层、非承重墙体空腔和吊顶内的管线应认定为管线分离；而对于埋置在结构构件内部(不含横穿)或敷设在湿作业地面垫层内的管线应认定为管线未分离。</w:t>
      </w:r>
    </w:p>
    <w:p>
      <w:pPr>
        <w:pStyle w:val="45"/>
        <w:spacing w:before="156" w:after="156"/>
        <w:rPr>
          <w:rFonts w:ascii="宋体" w:hAnsi="宋体"/>
        </w:rPr>
      </w:pPr>
      <w:bookmarkStart w:id="39" w:name="_Toc133412709"/>
      <w:r>
        <w:rPr>
          <w:rFonts w:hint="eastAsia" w:ascii="宋体" w:hAnsi="宋体"/>
        </w:rPr>
        <w:t>4.5 细化项</w:t>
      </w:r>
      <w:bookmarkEnd w:id="39"/>
    </w:p>
    <w:p>
      <w:pPr>
        <w:pStyle w:val="24"/>
        <w:tabs>
          <w:tab w:val="left" w:pos="851"/>
        </w:tabs>
        <w:rPr>
          <w:rFonts w:ascii="宋体" w:hAnsi="宋体"/>
        </w:rPr>
      </w:pPr>
      <w:r>
        <w:rPr>
          <w:rFonts w:hint="eastAsia" w:ascii="宋体" w:hAnsi="宋体"/>
          <w:b/>
          <w:bCs/>
        </w:rPr>
        <w:t>4</w:t>
      </w:r>
      <w:r>
        <w:rPr>
          <w:rFonts w:ascii="宋体" w:hAnsi="宋体"/>
          <w:b/>
          <w:bCs/>
        </w:rPr>
        <w:t>.5.3</w:t>
      </w:r>
      <w:r>
        <w:rPr>
          <w:rFonts w:ascii="宋体" w:hAnsi="宋体"/>
        </w:rPr>
        <w:tab/>
      </w:r>
      <w:r>
        <w:rPr>
          <w:rFonts w:hint="eastAsia" w:ascii="宋体" w:hAnsi="宋体"/>
        </w:rPr>
        <w:t>围护墙采用墙体、保温、隔热一体化强调的是“集成性”，通过集成，满足结构、保温、隔热要求。同时还强调了从设计阶段需进行一体化集成设计，实现多功能一体的“围护墙系统”。</w:t>
      </w:r>
    </w:p>
    <w:p>
      <w:pPr>
        <w:pStyle w:val="24"/>
        <w:tabs>
          <w:tab w:val="left" w:pos="851"/>
        </w:tabs>
        <w:rPr>
          <w:rFonts w:ascii="宋体" w:hAnsi="宋体"/>
        </w:rPr>
      </w:pPr>
      <w:r>
        <w:rPr>
          <w:rFonts w:hint="eastAsia" w:ascii="宋体" w:hAnsi="宋体"/>
        </w:rPr>
        <w:t>一体化的集成过程应采用干式作业方式，既可以在工厂完成一体化的集成，也可以在现场应用干式作业进行集成。</w:t>
      </w:r>
    </w:p>
    <w:p>
      <w:pPr>
        <w:pStyle w:val="47"/>
        <w:ind w:firstLine="560"/>
        <w:rPr>
          <w:rFonts w:ascii="宋体" w:hAnsi="宋体"/>
        </w:rPr>
      </w:pPr>
      <w:r>
        <w:rPr>
          <w:rFonts w:hint="eastAsia" w:ascii="宋体" w:hAnsi="宋体"/>
        </w:rPr>
        <w:t>当承重围护墙采用一体化时，则分子和分母均考虑承重竖向构件的面积。</w:t>
      </w:r>
    </w:p>
    <w:p>
      <w:pPr>
        <w:pStyle w:val="24"/>
        <w:tabs>
          <w:tab w:val="left" w:pos="851"/>
        </w:tabs>
        <w:rPr>
          <w:rFonts w:ascii="宋体" w:hAnsi="宋体"/>
        </w:rPr>
      </w:pPr>
      <w:r>
        <w:rPr>
          <w:rFonts w:hint="eastAsia" w:ascii="宋体" w:hAnsi="宋体"/>
          <w:b/>
          <w:bCs/>
        </w:rPr>
        <w:t>4</w:t>
      </w:r>
      <w:r>
        <w:rPr>
          <w:rFonts w:ascii="宋体" w:hAnsi="宋体"/>
          <w:b/>
          <w:bCs/>
        </w:rPr>
        <w:t>.5.4</w:t>
      </w:r>
      <w:r>
        <w:rPr>
          <w:rFonts w:ascii="宋体" w:hAnsi="宋体"/>
        </w:rPr>
        <w:tab/>
      </w:r>
      <w:r>
        <w:rPr>
          <w:rFonts w:hint="eastAsia" w:ascii="宋体" w:hAnsi="宋体"/>
        </w:rPr>
        <w:t>内隔墙采用墙体、管线一体化强调的是“集成性”。内隔墙从设计阶段就需进行一体化集成设计，在管线综合设计的基础上，实现墙体与管线的集成一体化，从而形成“内隔墙系统”。</w:t>
      </w:r>
    </w:p>
    <w:p>
      <w:pPr>
        <w:pStyle w:val="47"/>
        <w:ind w:firstLine="560"/>
        <w:rPr>
          <w:rFonts w:ascii="宋体" w:hAnsi="宋体"/>
        </w:rPr>
      </w:pPr>
      <w:r>
        <w:rPr>
          <w:rFonts w:hint="eastAsia" w:ascii="宋体" w:hAnsi="宋体"/>
        </w:rPr>
        <w:t>一体化的集成过程应采用干式作业方式，既可以在工厂完成一体化的集成，也可以在现场应用干式作业进行集成。</w:t>
      </w:r>
    </w:p>
    <w:p>
      <w:pPr>
        <w:pStyle w:val="45"/>
        <w:spacing w:before="156" w:after="156"/>
        <w:rPr>
          <w:rFonts w:ascii="宋体" w:hAnsi="宋体"/>
        </w:rPr>
      </w:pPr>
      <w:bookmarkStart w:id="40" w:name="_Toc133412710"/>
      <w:r>
        <w:rPr>
          <w:rFonts w:hint="eastAsia" w:ascii="宋体" w:hAnsi="宋体"/>
        </w:rPr>
        <w:t>4.6 鼓励项</w:t>
      </w:r>
      <w:bookmarkEnd w:id="40"/>
    </w:p>
    <w:p>
      <w:pPr>
        <w:pStyle w:val="24"/>
        <w:tabs>
          <w:tab w:val="left" w:pos="851"/>
        </w:tabs>
        <w:rPr>
          <w:rFonts w:ascii="宋体" w:hAnsi="宋体"/>
        </w:rPr>
      </w:pPr>
      <w:r>
        <w:rPr>
          <w:rFonts w:hint="eastAsia" w:ascii="宋体" w:hAnsi="宋体"/>
          <w:b/>
          <w:bCs/>
        </w:rPr>
        <w:t>4</w:t>
      </w:r>
      <w:r>
        <w:rPr>
          <w:rFonts w:ascii="宋体" w:hAnsi="宋体"/>
          <w:b/>
          <w:bCs/>
        </w:rPr>
        <w:t>.6.2</w:t>
      </w:r>
      <w:r>
        <w:rPr>
          <w:rFonts w:ascii="宋体" w:hAnsi="宋体"/>
          <w:b/>
          <w:bCs/>
        </w:rPr>
        <w:tab/>
      </w:r>
      <w:r>
        <w:rPr>
          <w:rFonts w:hint="eastAsia" w:ascii="宋体" w:hAnsi="宋体"/>
        </w:rPr>
        <w:t>主体结构网格采用扩大模数网格，且符合2nM、3nM的尺寸系列。</w:t>
      </w:r>
    </w:p>
    <w:p>
      <w:pPr>
        <w:pStyle w:val="24"/>
        <w:tabs>
          <w:tab w:val="left" w:pos="851"/>
        </w:tabs>
        <w:ind w:firstLine="560" w:firstLineChars="200"/>
        <w:rPr>
          <w:rFonts w:ascii="宋体" w:hAnsi="宋体"/>
          <w:bCs/>
        </w:rPr>
      </w:pPr>
      <w:r>
        <w:rPr>
          <w:rFonts w:hint="eastAsia" w:ascii="宋体" w:hAnsi="宋体"/>
          <w:bCs/>
        </w:rPr>
        <w:t>本评价项中“评价单元”指项目实施装配式建筑的楼栋中相同建筑类型的所有楼栋；互为镜像关系的两个户型可认定为同一户型。</w:t>
      </w:r>
    </w:p>
    <w:p>
      <w:pPr>
        <w:pStyle w:val="24"/>
        <w:tabs>
          <w:tab w:val="left" w:pos="851"/>
        </w:tabs>
        <w:rPr>
          <w:rFonts w:ascii="宋体" w:hAnsi="宋体"/>
          <w:bCs/>
        </w:rPr>
      </w:pPr>
      <w:r>
        <w:rPr>
          <w:rFonts w:hint="eastAsia" w:ascii="宋体" w:hAnsi="宋体"/>
          <w:b/>
          <w:bCs/>
        </w:rPr>
        <w:t>4</w:t>
      </w:r>
      <w:r>
        <w:rPr>
          <w:rFonts w:ascii="宋体" w:hAnsi="宋体"/>
          <w:b/>
          <w:bCs/>
        </w:rPr>
        <w:t xml:space="preserve">.6.3 </w:t>
      </w:r>
      <w:r>
        <w:rPr>
          <w:rFonts w:hint="eastAsia" w:ascii="宋体" w:hAnsi="宋体"/>
          <w:bCs/>
        </w:rPr>
        <w:t>“采用国家、省、市等标准图集中标准样式的预制构件”是指采用与国家、广东省及佛山市标准图集中样式和尺寸一致的构件，对构件配筋可不作要求，且可同时选用不同图集中的构件；</w:t>
      </w:r>
    </w:p>
    <w:p>
      <w:pPr>
        <w:pStyle w:val="24"/>
        <w:tabs>
          <w:tab w:val="left" w:pos="851"/>
        </w:tabs>
        <w:ind w:firstLine="570"/>
        <w:rPr>
          <w:rFonts w:ascii="宋体" w:hAnsi="宋体"/>
          <w:bCs/>
        </w:rPr>
      </w:pPr>
      <w:r>
        <w:rPr>
          <w:rFonts w:hint="eastAsia" w:ascii="宋体" w:hAnsi="宋体"/>
          <w:bCs/>
        </w:rPr>
        <w:t>外窗设置企口时，“外窗宽度和高度”可从企口内侧或外侧中任意一侧起算；</w:t>
      </w:r>
    </w:p>
    <w:p>
      <w:pPr>
        <w:pStyle w:val="24"/>
        <w:tabs>
          <w:tab w:val="left" w:pos="851"/>
        </w:tabs>
        <w:ind w:firstLine="570"/>
        <w:rPr>
          <w:rFonts w:ascii="宋体" w:hAnsi="宋体"/>
          <w:bCs/>
        </w:rPr>
      </w:pPr>
      <w:r>
        <w:rPr>
          <w:rFonts w:hint="eastAsia" w:ascii="宋体" w:hAnsi="宋体"/>
          <w:bCs/>
        </w:rPr>
        <w:t>外形一致且可以共用模具的构件可以统计为同一个构件。</w:t>
      </w:r>
    </w:p>
    <w:p>
      <w:pPr>
        <w:pStyle w:val="24"/>
        <w:tabs>
          <w:tab w:val="left" w:pos="851"/>
        </w:tabs>
        <w:rPr>
          <w:rFonts w:ascii="宋体" w:hAnsi="宋体"/>
          <w:bCs/>
        </w:rPr>
      </w:pPr>
      <w:r>
        <w:rPr>
          <w:rFonts w:hint="eastAsia" w:ascii="宋体" w:hAnsi="宋体"/>
          <w:b/>
          <w:bCs/>
        </w:rPr>
        <w:t>4.6.4</w:t>
      </w:r>
      <w:r>
        <w:rPr>
          <w:rFonts w:ascii="宋体" w:hAnsi="宋体"/>
          <w:b/>
          <w:bCs/>
        </w:rPr>
        <w:t xml:space="preserve"> </w:t>
      </w:r>
      <w:r>
        <w:rPr>
          <w:rFonts w:hint="eastAsia" w:ascii="宋体" w:hAnsi="宋体"/>
          <w:bCs/>
        </w:rPr>
        <w:t>满足《装配式混凝土建筑技术标准》GB/T</w:t>
      </w:r>
      <w:r>
        <w:rPr>
          <w:rFonts w:hint="eastAsia" w:ascii="宋体" w:hAnsi="宋体"/>
          <w:bCs/>
          <w:lang w:val="en-US" w:eastAsia="zh-CN"/>
        </w:rPr>
        <w:t xml:space="preserve"> </w:t>
      </w:r>
      <w:r>
        <w:rPr>
          <w:rFonts w:hint="eastAsia" w:ascii="宋体" w:hAnsi="宋体"/>
          <w:bCs/>
        </w:rPr>
        <w:t>51231-2016与《装配式混凝土建筑结构技术规程》JGJ</w:t>
      </w:r>
      <w:r>
        <w:rPr>
          <w:rFonts w:hint="eastAsia" w:ascii="宋体" w:hAnsi="宋体"/>
          <w:bCs/>
          <w:lang w:val="en-US" w:eastAsia="zh-CN"/>
        </w:rPr>
        <w:t xml:space="preserve"> </w:t>
      </w:r>
      <w:r>
        <w:rPr>
          <w:rFonts w:hint="eastAsia" w:ascii="宋体" w:hAnsi="宋体"/>
          <w:bCs/>
        </w:rPr>
        <w:t>1-2014规定，或采用国标图集《装配式混凝土连接节点构造》15G310-1～2中的节点大样，本项可得分。</w:t>
      </w:r>
    </w:p>
    <w:p>
      <w:pPr>
        <w:pStyle w:val="24"/>
        <w:tabs>
          <w:tab w:val="left" w:pos="851"/>
        </w:tabs>
        <w:rPr>
          <w:rFonts w:ascii="宋体" w:hAnsi="宋体"/>
          <w:bCs/>
        </w:rPr>
      </w:pPr>
      <w:r>
        <w:rPr>
          <w:rFonts w:hint="eastAsia" w:ascii="宋体" w:hAnsi="宋体"/>
          <w:b/>
          <w:bCs/>
        </w:rPr>
        <w:t>4.6.5</w:t>
      </w:r>
      <w:r>
        <w:rPr>
          <w:rFonts w:ascii="宋体" w:hAnsi="宋体"/>
          <w:b/>
          <w:bCs/>
        </w:rPr>
        <w:t xml:space="preserve"> </w:t>
      </w:r>
      <w:r>
        <w:rPr>
          <w:rFonts w:hint="eastAsia" w:ascii="宋体" w:hAnsi="宋体"/>
          <w:bCs/>
        </w:rPr>
        <w:t>按国家《绿色建筑评价标准》GB/T</w:t>
      </w:r>
      <w:r>
        <w:rPr>
          <w:rFonts w:hint="eastAsia" w:ascii="宋体" w:hAnsi="宋体"/>
          <w:bCs/>
          <w:lang w:val="en-US" w:eastAsia="zh-CN"/>
        </w:rPr>
        <w:t xml:space="preserve"> </w:t>
      </w:r>
      <w:r>
        <w:rPr>
          <w:rFonts w:hint="eastAsia" w:ascii="宋体" w:hAnsi="宋体"/>
          <w:bCs/>
        </w:rPr>
        <w:t>50378-2019或《广东省绿色建筑评价标准》DBJ/T</w:t>
      </w:r>
      <w:r>
        <w:rPr>
          <w:rFonts w:hint="eastAsia" w:ascii="宋体" w:hAnsi="宋体"/>
          <w:bCs/>
          <w:lang w:val="en-US" w:eastAsia="zh-CN"/>
        </w:rPr>
        <w:t xml:space="preserve"> </w:t>
      </w:r>
      <w:r>
        <w:rPr>
          <w:rFonts w:hint="eastAsia" w:ascii="宋体" w:hAnsi="宋体"/>
          <w:bCs/>
        </w:rPr>
        <w:t>15-83-2017设计，提供“施工图审查合格证”作为依据可得0.5分；提供由广东省建筑节能协会出具的“绿色建筑预评价报告”作为依据，可按照绿建星级取得对应分数。</w:t>
      </w:r>
    </w:p>
    <w:p>
      <w:pPr>
        <w:pStyle w:val="24"/>
        <w:tabs>
          <w:tab w:val="left" w:pos="851"/>
        </w:tabs>
        <w:rPr>
          <w:rFonts w:ascii="宋体" w:hAnsi="宋体"/>
        </w:rPr>
      </w:pPr>
      <w:r>
        <w:rPr>
          <w:rFonts w:hint="eastAsia" w:ascii="宋体" w:hAnsi="宋体"/>
          <w:b/>
          <w:bCs/>
        </w:rPr>
        <w:t>4</w:t>
      </w:r>
      <w:r>
        <w:rPr>
          <w:rFonts w:ascii="宋体" w:hAnsi="宋体"/>
          <w:b/>
          <w:bCs/>
        </w:rPr>
        <w:t>.6.7</w:t>
      </w:r>
      <w:r>
        <w:rPr>
          <w:rFonts w:ascii="宋体" w:hAnsi="宋体"/>
          <w:b/>
          <w:bCs/>
        </w:rPr>
        <w:tab/>
      </w:r>
      <w:r>
        <w:rPr>
          <w:rFonts w:hint="eastAsia" w:ascii="宋体" w:hAnsi="宋体"/>
        </w:rPr>
        <w:t>BIM资料的相关要求按照《建筑信息模型应用统一标准》GB/T</w:t>
      </w:r>
      <w:r>
        <w:rPr>
          <w:rFonts w:hint="eastAsia" w:ascii="宋体" w:hAnsi="宋体"/>
          <w:lang w:val="en-US" w:eastAsia="zh-CN"/>
        </w:rPr>
        <w:t xml:space="preserve"> </w:t>
      </w:r>
      <w:r>
        <w:rPr>
          <w:rFonts w:hint="eastAsia" w:ascii="宋体" w:hAnsi="宋体"/>
        </w:rPr>
        <w:t>51212和《广东省建筑信息模型应用统一标准》DBJ∕T 15-142执行。</w:t>
      </w:r>
    </w:p>
    <w:p>
      <w:pPr>
        <w:pStyle w:val="24"/>
        <w:tabs>
          <w:tab w:val="left" w:pos="851"/>
        </w:tabs>
        <w:rPr>
          <w:rFonts w:ascii="宋体" w:hAnsi="宋体"/>
        </w:rPr>
      </w:pPr>
      <w:r>
        <w:rPr>
          <w:rFonts w:hint="eastAsia" w:ascii="宋体" w:hAnsi="宋体"/>
        </w:rPr>
        <w:t xml:space="preserve">    “满足施工图设计应用要求”，是指建设单位提供本项目实施装配式建筑的所有楼栋全专业（包括建筑、结构、暖通、给排水、电气、装修专业）施工图设计阶段BIM 资料，且模型细度满足《广东省建筑信息模型应用统一标准》中设计模型LOD200要求；</w:t>
      </w:r>
    </w:p>
    <w:p>
      <w:pPr>
        <w:pStyle w:val="24"/>
        <w:tabs>
          <w:tab w:val="left" w:pos="851"/>
        </w:tabs>
        <w:ind w:firstLine="560" w:firstLineChars="200"/>
        <w:rPr>
          <w:rFonts w:ascii="宋体" w:hAnsi="宋体"/>
        </w:rPr>
      </w:pPr>
      <w:r>
        <w:rPr>
          <w:rFonts w:hint="eastAsia" w:ascii="宋体" w:hAnsi="宋体"/>
        </w:rPr>
        <w:t>“满足深化设计应用要求”，是指建设单位所提供的BIM资料可满足该项目所</w:t>
      </w:r>
      <w:r>
        <w:rPr>
          <w:rFonts w:ascii="宋体" w:hAnsi="宋体"/>
        </w:rPr>
        <w:t>应用的</w:t>
      </w:r>
      <w:r>
        <w:rPr>
          <w:rFonts w:hint="eastAsia" w:ascii="宋体" w:hAnsi="宋体"/>
        </w:rPr>
        <w:t>预制构件和</w:t>
      </w:r>
      <w:r>
        <w:rPr>
          <w:rFonts w:ascii="宋体" w:hAnsi="宋体"/>
        </w:rPr>
        <w:t>装配式</w:t>
      </w:r>
      <w:r>
        <w:rPr>
          <w:rFonts w:hint="eastAsia" w:ascii="宋体" w:hAnsi="宋体"/>
        </w:rPr>
        <w:t>装修的</w:t>
      </w:r>
      <w:r>
        <w:rPr>
          <w:rFonts w:ascii="宋体" w:hAnsi="宋体"/>
        </w:rPr>
        <w:t>部品部件的生产</w:t>
      </w:r>
      <w:r>
        <w:rPr>
          <w:rFonts w:hint="eastAsia" w:ascii="宋体" w:hAnsi="宋体"/>
        </w:rPr>
        <w:t>、</w:t>
      </w:r>
      <w:r>
        <w:rPr>
          <w:rFonts w:ascii="宋体" w:hAnsi="宋体"/>
        </w:rPr>
        <w:t>安装的深化设计要求</w:t>
      </w:r>
      <w:r>
        <w:rPr>
          <w:rFonts w:hint="eastAsia" w:ascii="宋体" w:hAnsi="宋体"/>
        </w:rPr>
        <w:t>。</w:t>
      </w:r>
    </w:p>
    <w:p>
      <w:pPr>
        <w:pStyle w:val="24"/>
        <w:rPr>
          <w:rFonts w:ascii="宋体" w:hAnsi="宋体"/>
        </w:rPr>
      </w:pPr>
      <w:r>
        <w:rPr>
          <w:rFonts w:hint="eastAsia" w:ascii="宋体" w:hAnsi="宋体"/>
          <w:b/>
          <w:bCs/>
        </w:rPr>
        <w:t>4</w:t>
      </w:r>
      <w:r>
        <w:rPr>
          <w:rFonts w:ascii="宋体" w:hAnsi="宋体"/>
          <w:b/>
          <w:bCs/>
        </w:rPr>
        <w:t>.6.8</w:t>
      </w:r>
      <w:r>
        <w:rPr>
          <w:rFonts w:ascii="宋体" w:hAnsi="宋体"/>
          <w:b/>
          <w:bCs/>
        </w:rPr>
        <w:tab/>
      </w:r>
      <w:r>
        <w:rPr>
          <w:rFonts w:hint="eastAsia" w:ascii="宋体" w:hAnsi="宋体"/>
        </w:rPr>
        <w:t>智能建造按照《佛山市房屋建筑项目智能建造水平评价指引》规定开展智能建造评价，取得评价等级的可得分；</w:t>
      </w:r>
    </w:p>
    <w:p>
      <w:pPr>
        <w:pStyle w:val="24"/>
        <w:ind w:firstLine="560" w:firstLineChars="200"/>
        <w:rPr>
          <w:rFonts w:ascii="宋体" w:hAnsi="宋体"/>
        </w:rPr>
        <w:sectPr>
          <w:pgSz w:w="11906" w:h="16838"/>
          <w:pgMar w:top="1440" w:right="1800" w:bottom="1440" w:left="1800" w:header="851" w:footer="992" w:gutter="0"/>
          <w:cols w:space="720" w:num="1"/>
          <w:docGrid w:type="lines" w:linePitch="312" w:charSpace="0"/>
        </w:sectPr>
      </w:pPr>
      <w:r>
        <w:rPr>
          <w:rFonts w:hint="eastAsia" w:ascii="宋体" w:hAnsi="宋体"/>
        </w:rPr>
        <w:t>采用</w:t>
      </w:r>
      <w:r>
        <w:rPr>
          <w:rFonts w:ascii="宋体" w:hAnsi="宋体"/>
        </w:rPr>
        <w:t>“</w:t>
      </w:r>
      <w:r>
        <w:rPr>
          <w:rFonts w:hint="eastAsia" w:ascii="宋体" w:hAnsi="宋体"/>
        </w:rPr>
        <w:t>工程</w:t>
      </w:r>
      <w:r>
        <w:rPr>
          <w:rFonts w:ascii="宋体" w:hAnsi="宋体"/>
        </w:rPr>
        <w:t>总承包”</w:t>
      </w:r>
      <w:r>
        <w:rPr>
          <w:rFonts w:hint="eastAsia" w:ascii="宋体" w:hAnsi="宋体"/>
        </w:rPr>
        <w:t>技术项</w:t>
      </w:r>
      <w:r>
        <w:rPr>
          <w:rFonts w:ascii="宋体" w:hAnsi="宋体"/>
        </w:rPr>
        <w:t>得分时，</w:t>
      </w:r>
      <w:r>
        <w:rPr>
          <w:rFonts w:hint="eastAsia" w:ascii="宋体" w:hAnsi="宋体"/>
        </w:rPr>
        <w:t>需提供总承包合同作为得分依据。</w:t>
      </w:r>
    </w:p>
    <w:p>
      <w:pPr>
        <w:pStyle w:val="2"/>
        <w:spacing w:after="312"/>
      </w:pPr>
      <w:bookmarkStart w:id="41" w:name="_Toc133412711"/>
      <w:bookmarkStart w:id="42" w:name="_Toc17470062"/>
      <w:r>
        <w:rPr>
          <w:rFonts w:hint="eastAsia"/>
        </w:rPr>
        <w:t>5</w:t>
      </w:r>
      <w:r>
        <w:rPr>
          <w:rFonts w:hint="eastAsia"/>
        </w:rPr>
        <w:tab/>
      </w:r>
      <w:r>
        <w:rPr>
          <w:rFonts w:hint="eastAsia"/>
        </w:rPr>
        <w:t>评价等级划分</w:t>
      </w:r>
      <w:bookmarkEnd w:id="41"/>
      <w:bookmarkEnd w:id="42"/>
    </w:p>
    <w:p>
      <w:pPr>
        <w:pStyle w:val="24"/>
        <w:rPr>
          <w:rFonts w:ascii="宋体" w:hAnsi="宋体"/>
          <w:sz w:val="36"/>
          <w:szCs w:val="36"/>
        </w:rPr>
      </w:pPr>
      <w:r>
        <w:rPr>
          <w:rFonts w:hint="eastAsia" w:ascii="宋体" w:hAnsi="宋体"/>
          <w:b/>
          <w:bCs/>
        </w:rPr>
        <w:t>5</w:t>
      </w:r>
      <w:r>
        <w:rPr>
          <w:rFonts w:ascii="宋体" w:hAnsi="宋体"/>
          <w:b/>
          <w:bCs/>
        </w:rPr>
        <w:t>.0.2</w:t>
      </w:r>
      <w:r>
        <w:rPr>
          <w:rFonts w:ascii="宋体" w:hAnsi="宋体"/>
          <w:b/>
          <w:bCs/>
        </w:rPr>
        <w:tab/>
      </w:r>
      <w:r>
        <w:rPr>
          <w:rFonts w:hint="eastAsia"/>
        </w:rPr>
        <w:t>对于建筑房屋高度超出现行规范、规程、标准的结构，竖向构件预制可能会对主体结构产生不利影响，结合现阶段装配式建筑技术实际情况，为保证主体结构安全，对于此类超高建筑不再控制竖向构件预制比例。</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Noto Sans CJK SC"/>
    <w:panose1 w:val="02010600030101010101"/>
    <w:charset w:val="86"/>
    <w:family w:val="auto"/>
    <w:pitch w:val="default"/>
    <w:sig w:usb0="00000000" w:usb1="00000000" w:usb2="00000016" w:usb3="00000000" w:csb0="0004000F" w:csb1="00000000"/>
  </w:font>
  <w:font w:name="Noto Sans CJK SC">
    <w:panose1 w:val="020B0500000000000000"/>
    <w:charset w:val="86"/>
    <w:family w:val="auto"/>
    <w:pitch w:val="default"/>
    <w:sig w:usb0="30000003" w:usb1="2BDF3C10" w:usb2="00000016" w:usb3="00000000" w:csb0="602E0107"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等线 Light">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ambria Math">
    <w:altName w:val="DejaVu Math TeX Gyre"/>
    <w:panose1 w:val="02040503050406030204"/>
    <w:charset w:val="00"/>
    <w:family w:val="roman"/>
    <w:pitch w:val="default"/>
    <w:sig w:usb0="00000000" w:usb1="00000000" w:usb2="02000000" w:usb3="00000000" w:csb0="2000019F" w:csb1="00000000"/>
  </w:font>
  <w:font w:name="DejaVu Math TeX Gyre">
    <w:panose1 w:val="02000503000000000000"/>
    <w:charset w:val="00"/>
    <w:family w:val="auto"/>
    <w:pitch w:val="default"/>
    <w:sig w:usb0="A10000EF" w:usb1="4201F9EE" w:usb2="02000000" w:usb3="00000000" w:csb0="60000193" w:csb1="0DD40000"/>
  </w:font>
  <w:font w:name="等线">
    <w:altName w:val="Noto Sans CJK SC"/>
    <w:panose1 w:val="00000000000000000000"/>
    <w:charset w:val="00"/>
    <w:family w:val="auto"/>
    <w:pitch w:val="default"/>
    <w:sig w:usb0="00000000" w:usb1="00000000" w:usb2="00000000" w:usb3="00000000" w:csb0="00000000" w:csb1="00000000"/>
  </w:font>
  <w:font w:name="Arial">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III</w:t>
    </w:r>
    <w:r>
      <w:rP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zql5uc8AAAAFAQAADwAAAAAAAAAB&#10;ACAAAAA4AAAAZHJzL2Rvd25yZXYueG1sUEsBAhQAFAAAAAgAh07iQEuiPfYDAgAABAQAAA4AAAAA&#10;AAAAAQAgAAAANAEAAGRycy9lMm9Eb2MueG1sUEsFBgAAAAAGAAYAWQEAAKkFAAAAAA==&#10;">
              <v:fill on="f" focussize="0,0"/>
              <v:stroke on="f"/>
              <v:imagedata o:title=""/>
              <o:lock v:ext="edit" aspectratio="f"/>
              <v:textbox inset="0mm,0mm,0mm,0mm" style="mso-fit-shape-to-text:t;">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17</w:t>
    </w:r>
    <w:r>
      <w:rPr>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39</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8762F8"/>
    <w:multiLevelType w:val="multilevel"/>
    <w:tmpl w:val="6B8762F8"/>
    <w:lvl w:ilvl="0" w:tentative="0">
      <w:start w:val="1"/>
      <w:numFmt w:val="decimal"/>
      <w:lvlText w:val="2.0.%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VjMTVmYTdjM2IyZTNhYzM3NzgwMDZmODZkNzRiZTMifQ=="/>
  </w:docVars>
  <w:rsids>
    <w:rsidRoot w:val="00172A27"/>
    <w:rsid w:val="00000BD7"/>
    <w:rsid w:val="00000E41"/>
    <w:rsid w:val="000010BD"/>
    <w:rsid w:val="00001C35"/>
    <w:rsid w:val="000022F0"/>
    <w:rsid w:val="00003021"/>
    <w:rsid w:val="0000369E"/>
    <w:rsid w:val="00005526"/>
    <w:rsid w:val="00005DA4"/>
    <w:rsid w:val="00005E52"/>
    <w:rsid w:val="0001282F"/>
    <w:rsid w:val="00014232"/>
    <w:rsid w:val="0002229D"/>
    <w:rsid w:val="00022F47"/>
    <w:rsid w:val="00023434"/>
    <w:rsid w:val="00025378"/>
    <w:rsid w:val="0002645D"/>
    <w:rsid w:val="00026A60"/>
    <w:rsid w:val="000278A8"/>
    <w:rsid w:val="00030FB8"/>
    <w:rsid w:val="00032F16"/>
    <w:rsid w:val="0003383E"/>
    <w:rsid w:val="00034971"/>
    <w:rsid w:val="00034FD9"/>
    <w:rsid w:val="00040C5F"/>
    <w:rsid w:val="00041B4C"/>
    <w:rsid w:val="0004277A"/>
    <w:rsid w:val="00042B71"/>
    <w:rsid w:val="00043A85"/>
    <w:rsid w:val="000454E9"/>
    <w:rsid w:val="00045ABA"/>
    <w:rsid w:val="00045E07"/>
    <w:rsid w:val="000460FE"/>
    <w:rsid w:val="00046571"/>
    <w:rsid w:val="000466EC"/>
    <w:rsid w:val="000504DC"/>
    <w:rsid w:val="000526BB"/>
    <w:rsid w:val="00052D4B"/>
    <w:rsid w:val="0005587F"/>
    <w:rsid w:val="00056BD4"/>
    <w:rsid w:val="000575AD"/>
    <w:rsid w:val="000607C6"/>
    <w:rsid w:val="000648FC"/>
    <w:rsid w:val="0006731C"/>
    <w:rsid w:val="000673EE"/>
    <w:rsid w:val="00067F92"/>
    <w:rsid w:val="000707D5"/>
    <w:rsid w:val="00072A56"/>
    <w:rsid w:val="00073943"/>
    <w:rsid w:val="00074106"/>
    <w:rsid w:val="00075479"/>
    <w:rsid w:val="00075D4B"/>
    <w:rsid w:val="000772F2"/>
    <w:rsid w:val="0007751B"/>
    <w:rsid w:val="0008044D"/>
    <w:rsid w:val="00080DB0"/>
    <w:rsid w:val="00080E3B"/>
    <w:rsid w:val="000814BB"/>
    <w:rsid w:val="00082EDA"/>
    <w:rsid w:val="00085CF7"/>
    <w:rsid w:val="00086120"/>
    <w:rsid w:val="000866FE"/>
    <w:rsid w:val="00086ECC"/>
    <w:rsid w:val="000906C8"/>
    <w:rsid w:val="000912F6"/>
    <w:rsid w:val="0009137A"/>
    <w:rsid w:val="00091566"/>
    <w:rsid w:val="00091907"/>
    <w:rsid w:val="00091961"/>
    <w:rsid w:val="00091C09"/>
    <w:rsid w:val="00092B02"/>
    <w:rsid w:val="000941CE"/>
    <w:rsid w:val="000959A9"/>
    <w:rsid w:val="000963E1"/>
    <w:rsid w:val="00096A7E"/>
    <w:rsid w:val="000971B3"/>
    <w:rsid w:val="000979BD"/>
    <w:rsid w:val="000A007B"/>
    <w:rsid w:val="000A08C9"/>
    <w:rsid w:val="000A3434"/>
    <w:rsid w:val="000A439B"/>
    <w:rsid w:val="000A5F41"/>
    <w:rsid w:val="000A70AA"/>
    <w:rsid w:val="000A7488"/>
    <w:rsid w:val="000A7F36"/>
    <w:rsid w:val="000B0419"/>
    <w:rsid w:val="000B23FE"/>
    <w:rsid w:val="000B510A"/>
    <w:rsid w:val="000B5F1E"/>
    <w:rsid w:val="000B7771"/>
    <w:rsid w:val="000B7AC6"/>
    <w:rsid w:val="000B7E39"/>
    <w:rsid w:val="000B7EDC"/>
    <w:rsid w:val="000C05E5"/>
    <w:rsid w:val="000C0C4E"/>
    <w:rsid w:val="000C30CD"/>
    <w:rsid w:val="000C4140"/>
    <w:rsid w:val="000C42F7"/>
    <w:rsid w:val="000D03AB"/>
    <w:rsid w:val="000D14EC"/>
    <w:rsid w:val="000D1DA3"/>
    <w:rsid w:val="000D4DF2"/>
    <w:rsid w:val="000D71B8"/>
    <w:rsid w:val="000E2635"/>
    <w:rsid w:val="000E3EDC"/>
    <w:rsid w:val="000E4712"/>
    <w:rsid w:val="000E5560"/>
    <w:rsid w:val="000E6B48"/>
    <w:rsid w:val="000F09FE"/>
    <w:rsid w:val="000F3846"/>
    <w:rsid w:val="000F6B70"/>
    <w:rsid w:val="000F70ED"/>
    <w:rsid w:val="001002DF"/>
    <w:rsid w:val="00101224"/>
    <w:rsid w:val="00101507"/>
    <w:rsid w:val="00101535"/>
    <w:rsid w:val="00101C83"/>
    <w:rsid w:val="00105218"/>
    <w:rsid w:val="001064B6"/>
    <w:rsid w:val="00111EDD"/>
    <w:rsid w:val="001147C1"/>
    <w:rsid w:val="0011575D"/>
    <w:rsid w:val="00121CA8"/>
    <w:rsid w:val="0012287A"/>
    <w:rsid w:val="001232F3"/>
    <w:rsid w:val="00123A54"/>
    <w:rsid w:val="00123E9F"/>
    <w:rsid w:val="00125CC9"/>
    <w:rsid w:val="00126233"/>
    <w:rsid w:val="0012646B"/>
    <w:rsid w:val="001311AA"/>
    <w:rsid w:val="0014155A"/>
    <w:rsid w:val="00141B94"/>
    <w:rsid w:val="00143D4E"/>
    <w:rsid w:val="00144574"/>
    <w:rsid w:val="00144EC7"/>
    <w:rsid w:val="001459AC"/>
    <w:rsid w:val="00151A0E"/>
    <w:rsid w:val="00152FE8"/>
    <w:rsid w:val="001550B4"/>
    <w:rsid w:val="00157421"/>
    <w:rsid w:val="00160879"/>
    <w:rsid w:val="00162EC7"/>
    <w:rsid w:val="00163136"/>
    <w:rsid w:val="001634D6"/>
    <w:rsid w:val="0016454A"/>
    <w:rsid w:val="00164685"/>
    <w:rsid w:val="00166DC2"/>
    <w:rsid w:val="00167BF6"/>
    <w:rsid w:val="0017037B"/>
    <w:rsid w:val="00170A61"/>
    <w:rsid w:val="001711C9"/>
    <w:rsid w:val="00171514"/>
    <w:rsid w:val="00171C75"/>
    <w:rsid w:val="00172A27"/>
    <w:rsid w:val="00174245"/>
    <w:rsid w:val="001752A7"/>
    <w:rsid w:val="00180009"/>
    <w:rsid w:val="001834CD"/>
    <w:rsid w:val="00186E4F"/>
    <w:rsid w:val="001872F7"/>
    <w:rsid w:val="001921EA"/>
    <w:rsid w:val="001924B6"/>
    <w:rsid w:val="00193CAA"/>
    <w:rsid w:val="00194376"/>
    <w:rsid w:val="001966D4"/>
    <w:rsid w:val="00197E16"/>
    <w:rsid w:val="001A0242"/>
    <w:rsid w:val="001A1329"/>
    <w:rsid w:val="001A26EE"/>
    <w:rsid w:val="001A279C"/>
    <w:rsid w:val="001A413A"/>
    <w:rsid w:val="001A42F6"/>
    <w:rsid w:val="001A58D9"/>
    <w:rsid w:val="001A69FC"/>
    <w:rsid w:val="001A70DB"/>
    <w:rsid w:val="001B09BD"/>
    <w:rsid w:val="001B1FED"/>
    <w:rsid w:val="001B330D"/>
    <w:rsid w:val="001B48DE"/>
    <w:rsid w:val="001B70DE"/>
    <w:rsid w:val="001C193F"/>
    <w:rsid w:val="001C1E1E"/>
    <w:rsid w:val="001C6775"/>
    <w:rsid w:val="001C6D65"/>
    <w:rsid w:val="001C7BF5"/>
    <w:rsid w:val="001D0131"/>
    <w:rsid w:val="001D0620"/>
    <w:rsid w:val="001D2036"/>
    <w:rsid w:val="001D5B8D"/>
    <w:rsid w:val="001D661C"/>
    <w:rsid w:val="001D785E"/>
    <w:rsid w:val="001D7D9E"/>
    <w:rsid w:val="001E072E"/>
    <w:rsid w:val="001E0E38"/>
    <w:rsid w:val="001E1F5D"/>
    <w:rsid w:val="001E2668"/>
    <w:rsid w:val="001E3657"/>
    <w:rsid w:val="001E5B66"/>
    <w:rsid w:val="001E5F31"/>
    <w:rsid w:val="001E6EE4"/>
    <w:rsid w:val="001F06B3"/>
    <w:rsid w:val="001F3720"/>
    <w:rsid w:val="001F4D39"/>
    <w:rsid w:val="001F6216"/>
    <w:rsid w:val="001F72D7"/>
    <w:rsid w:val="001F7D84"/>
    <w:rsid w:val="00201C72"/>
    <w:rsid w:val="00202CB7"/>
    <w:rsid w:val="00202E15"/>
    <w:rsid w:val="00202EC9"/>
    <w:rsid w:val="002035F8"/>
    <w:rsid w:val="002051A8"/>
    <w:rsid w:val="00207769"/>
    <w:rsid w:val="0020799E"/>
    <w:rsid w:val="00207C0E"/>
    <w:rsid w:val="00211656"/>
    <w:rsid w:val="00215485"/>
    <w:rsid w:val="0021567C"/>
    <w:rsid w:val="002226A2"/>
    <w:rsid w:val="00222790"/>
    <w:rsid w:val="00230072"/>
    <w:rsid w:val="00230C18"/>
    <w:rsid w:val="00232F0D"/>
    <w:rsid w:val="00233CC7"/>
    <w:rsid w:val="002346A1"/>
    <w:rsid w:val="00235B32"/>
    <w:rsid w:val="002368AC"/>
    <w:rsid w:val="00240BF9"/>
    <w:rsid w:val="002413E4"/>
    <w:rsid w:val="00241F88"/>
    <w:rsid w:val="002420F8"/>
    <w:rsid w:val="00243305"/>
    <w:rsid w:val="0024414A"/>
    <w:rsid w:val="00244ABC"/>
    <w:rsid w:val="00245A36"/>
    <w:rsid w:val="002468B3"/>
    <w:rsid w:val="00247773"/>
    <w:rsid w:val="00250714"/>
    <w:rsid w:val="00250DF3"/>
    <w:rsid w:val="00250E7C"/>
    <w:rsid w:val="00250EA3"/>
    <w:rsid w:val="002516B1"/>
    <w:rsid w:val="002521B3"/>
    <w:rsid w:val="002521C9"/>
    <w:rsid w:val="00252D10"/>
    <w:rsid w:val="00255E96"/>
    <w:rsid w:val="00256C89"/>
    <w:rsid w:val="002629B9"/>
    <w:rsid w:val="00262DA1"/>
    <w:rsid w:val="002640F1"/>
    <w:rsid w:val="0026571C"/>
    <w:rsid w:val="00266371"/>
    <w:rsid w:val="002667D0"/>
    <w:rsid w:val="0026685F"/>
    <w:rsid w:val="0026784D"/>
    <w:rsid w:val="002710F6"/>
    <w:rsid w:val="00273B44"/>
    <w:rsid w:val="00274383"/>
    <w:rsid w:val="002743AB"/>
    <w:rsid w:val="00275723"/>
    <w:rsid w:val="00275BA9"/>
    <w:rsid w:val="00275D54"/>
    <w:rsid w:val="00276F48"/>
    <w:rsid w:val="002806E8"/>
    <w:rsid w:val="00281B27"/>
    <w:rsid w:val="002825DE"/>
    <w:rsid w:val="00283B6E"/>
    <w:rsid w:val="00284FDF"/>
    <w:rsid w:val="002851BA"/>
    <w:rsid w:val="00285C30"/>
    <w:rsid w:val="0029035B"/>
    <w:rsid w:val="002916B1"/>
    <w:rsid w:val="00291961"/>
    <w:rsid w:val="00292C23"/>
    <w:rsid w:val="00293122"/>
    <w:rsid w:val="0029328F"/>
    <w:rsid w:val="0029397A"/>
    <w:rsid w:val="002A44B2"/>
    <w:rsid w:val="002A4740"/>
    <w:rsid w:val="002A62A5"/>
    <w:rsid w:val="002B16D5"/>
    <w:rsid w:val="002B1A53"/>
    <w:rsid w:val="002B1E67"/>
    <w:rsid w:val="002B2252"/>
    <w:rsid w:val="002B3DD0"/>
    <w:rsid w:val="002B4850"/>
    <w:rsid w:val="002B60F9"/>
    <w:rsid w:val="002B6697"/>
    <w:rsid w:val="002C0C99"/>
    <w:rsid w:val="002C2744"/>
    <w:rsid w:val="002C3156"/>
    <w:rsid w:val="002C5898"/>
    <w:rsid w:val="002C6AD6"/>
    <w:rsid w:val="002C7A2A"/>
    <w:rsid w:val="002D0B3B"/>
    <w:rsid w:val="002D4860"/>
    <w:rsid w:val="002D602E"/>
    <w:rsid w:val="002D7E0C"/>
    <w:rsid w:val="002E2B14"/>
    <w:rsid w:val="002E45D2"/>
    <w:rsid w:val="002E704E"/>
    <w:rsid w:val="002F3561"/>
    <w:rsid w:val="002F3B35"/>
    <w:rsid w:val="002F3F91"/>
    <w:rsid w:val="002F471E"/>
    <w:rsid w:val="002F6FA4"/>
    <w:rsid w:val="002F73F6"/>
    <w:rsid w:val="002F7AE6"/>
    <w:rsid w:val="0030078F"/>
    <w:rsid w:val="00300F4A"/>
    <w:rsid w:val="003014DE"/>
    <w:rsid w:val="00301699"/>
    <w:rsid w:val="00301D30"/>
    <w:rsid w:val="003061BA"/>
    <w:rsid w:val="00306AFD"/>
    <w:rsid w:val="00310006"/>
    <w:rsid w:val="00314CB4"/>
    <w:rsid w:val="003169C6"/>
    <w:rsid w:val="00316A98"/>
    <w:rsid w:val="00316F39"/>
    <w:rsid w:val="00320A73"/>
    <w:rsid w:val="0032267C"/>
    <w:rsid w:val="00323E13"/>
    <w:rsid w:val="00324CD4"/>
    <w:rsid w:val="003268D3"/>
    <w:rsid w:val="003305C6"/>
    <w:rsid w:val="0033072A"/>
    <w:rsid w:val="003307DA"/>
    <w:rsid w:val="00331DA0"/>
    <w:rsid w:val="00331E59"/>
    <w:rsid w:val="00332656"/>
    <w:rsid w:val="00332770"/>
    <w:rsid w:val="0033501D"/>
    <w:rsid w:val="00336BE2"/>
    <w:rsid w:val="00341344"/>
    <w:rsid w:val="003415BA"/>
    <w:rsid w:val="00341A38"/>
    <w:rsid w:val="003443B7"/>
    <w:rsid w:val="00344518"/>
    <w:rsid w:val="0034462C"/>
    <w:rsid w:val="00350F6D"/>
    <w:rsid w:val="0035216B"/>
    <w:rsid w:val="00354678"/>
    <w:rsid w:val="00355347"/>
    <w:rsid w:val="00355A24"/>
    <w:rsid w:val="00356E67"/>
    <w:rsid w:val="00356E7F"/>
    <w:rsid w:val="0035716C"/>
    <w:rsid w:val="00357712"/>
    <w:rsid w:val="00360C47"/>
    <w:rsid w:val="00360D64"/>
    <w:rsid w:val="003624C4"/>
    <w:rsid w:val="0036616D"/>
    <w:rsid w:val="0037070D"/>
    <w:rsid w:val="003742CE"/>
    <w:rsid w:val="00376DF3"/>
    <w:rsid w:val="003806B1"/>
    <w:rsid w:val="00383EC7"/>
    <w:rsid w:val="00384EF7"/>
    <w:rsid w:val="00385165"/>
    <w:rsid w:val="00386001"/>
    <w:rsid w:val="00390752"/>
    <w:rsid w:val="003930BC"/>
    <w:rsid w:val="00393A91"/>
    <w:rsid w:val="003949DE"/>
    <w:rsid w:val="003950CF"/>
    <w:rsid w:val="003A0381"/>
    <w:rsid w:val="003A09F6"/>
    <w:rsid w:val="003A1527"/>
    <w:rsid w:val="003A35BE"/>
    <w:rsid w:val="003A4E71"/>
    <w:rsid w:val="003A5D63"/>
    <w:rsid w:val="003A7896"/>
    <w:rsid w:val="003B1470"/>
    <w:rsid w:val="003B2809"/>
    <w:rsid w:val="003B3D1F"/>
    <w:rsid w:val="003C3496"/>
    <w:rsid w:val="003C5DE0"/>
    <w:rsid w:val="003C68F8"/>
    <w:rsid w:val="003C76B4"/>
    <w:rsid w:val="003C76C5"/>
    <w:rsid w:val="003C77C0"/>
    <w:rsid w:val="003D05AD"/>
    <w:rsid w:val="003D0888"/>
    <w:rsid w:val="003D1E06"/>
    <w:rsid w:val="003D2077"/>
    <w:rsid w:val="003D3279"/>
    <w:rsid w:val="003D33CE"/>
    <w:rsid w:val="003D365C"/>
    <w:rsid w:val="003D568E"/>
    <w:rsid w:val="003E0A37"/>
    <w:rsid w:val="003E1459"/>
    <w:rsid w:val="003E1DF7"/>
    <w:rsid w:val="003E37DA"/>
    <w:rsid w:val="003E495F"/>
    <w:rsid w:val="003E5065"/>
    <w:rsid w:val="003E62C4"/>
    <w:rsid w:val="003E6C03"/>
    <w:rsid w:val="003E7976"/>
    <w:rsid w:val="003E7A87"/>
    <w:rsid w:val="003F0D44"/>
    <w:rsid w:val="003F12A5"/>
    <w:rsid w:val="003F334F"/>
    <w:rsid w:val="003F5641"/>
    <w:rsid w:val="003F65CC"/>
    <w:rsid w:val="003F6BAC"/>
    <w:rsid w:val="003F6C04"/>
    <w:rsid w:val="003F7576"/>
    <w:rsid w:val="004000F7"/>
    <w:rsid w:val="00404550"/>
    <w:rsid w:val="00405BCC"/>
    <w:rsid w:val="004071C5"/>
    <w:rsid w:val="0040721D"/>
    <w:rsid w:val="00407CFC"/>
    <w:rsid w:val="00410B80"/>
    <w:rsid w:val="00412592"/>
    <w:rsid w:val="00412F5E"/>
    <w:rsid w:val="00415AF0"/>
    <w:rsid w:val="00416B43"/>
    <w:rsid w:val="00420FCD"/>
    <w:rsid w:val="00421569"/>
    <w:rsid w:val="00422CC4"/>
    <w:rsid w:val="00423316"/>
    <w:rsid w:val="00424164"/>
    <w:rsid w:val="004251AA"/>
    <w:rsid w:val="0042711E"/>
    <w:rsid w:val="00431ECE"/>
    <w:rsid w:val="00431F9D"/>
    <w:rsid w:val="0043246F"/>
    <w:rsid w:val="004335C4"/>
    <w:rsid w:val="00435A2D"/>
    <w:rsid w:val="00436EC6"/>
    <w:rsid w:val="00440124"/>
    <w:rsid w:val="00440575"/>
    <w:rsid w:val="0044079E"/>
    <w:rsid w:val="00441C52"/>
    <w:rsid w:val="00443099"/>
    <w:rsid w:val="00445B67"/>
    <w:rsid w:val="00447FA7"/>
    <w:rsid w:val="00451B7B"/>
    <w:rsid w:val="00453626"/>
    <w:rsid w:val="00455071"/>
    <w:rsid w:val="00456D6A"/>
    <w:rsid w:val="0046014E"/>
    <w:rsid w:val="0046074A"/>
    <w:rsid w:val="004610BE"/>
    <w:rsid w:val="00463EB4"/>
    <w:rsid w:val="004646F8"/>
    <w:rsid w:val="00464C11"/>
    <w:rsid w:val="004653CB"/>
    <w:rsid w:val="00466546"/>
    <w:rsid w:val="004677CA"/>
    <w:rsid w:val="0047027A"/>
    <w:rsid w:val="00470701"/>
    <w:rsid w:val="004709A6"/>
    <w:rsid w:val="0047623A"/>
    <w:rsid w:val="00476292"/>
    <w:rsid w:val="00476CF7"/>
    <w:rsid w:val="00476E65"/>
    <w:rsid w:val="0048427C"/>
    <w:rsid w:val="0048547B"/>
    <w:rsid w:val="00486192"/>
    <w:rsid w:val="0048634F"/>
    <w:rsid w:val="004872CA"/>
    <w:rsid w:val="00487843"/>
    <w:rsid w:val="00492176"/>
    <w:rsid w:val="00492809"/>
    <w:rsid w:val="00493BB1"/>
    <w:rsid w:val="00494CD4"/>
    <w:rsid w:val="00496516"/>
    <w:rsid w:val="004974FF"/>
    <w:rsid w:val="00497558"/>
    <w:rsid w:val="004A05F4"/>
    <w:rsid w:val="004A3A33"/>
    <w:rsid w:val="004A3C88"/>
    <w:rsid w:val="004A3D8E"/>
    <w:rsid w:val="004A44C1"/>
    <w:rsid w:val="004A4533"/>
    <w:rsid w:val="004A7979"/>
    <w:rsid w:val="004B0360"/>
    <w:rsid w:val="004B1726"/>
    <w:rsid w:val="004B1F76"/>
    <w:rsid w:val="004B266A"/>
    <w:rsid w:val="004B3CA5"/>
    <w:rsid w:val="004B67AB"/>
    <w:rsid w:val="004B6857"/>
    <w:rsid w:val="004C199F"/>
    <w:rsid w:val="004C330E"/>
    <w:rsid w:val="004C3800"/>
    <w:rsid w:val="004C4336"/>
    <w:rsid w:val="004C56A9"/>
    <w:rsid w:val="004C62CF"/>
    <w:rsid w:val="004C6E8D"/>
    <w:rsid w:val="004C7EA6"/>
    <w:rsid w:val="004D35AF"/>
    <w:rsid w:val="004D4835"/>
    <w:rsid w:val="004D48A8"/>
    <w:rsid w:val="004D50F5"/>
    <w:rsid w:val="004D7315"/>
    <w:rsid w:val="004E0E84"/>
    <w:rsid w:val="004E2479"/>
    <w:rsid w:val="004E2E2D"/>
    <w:rsid w:val="004E4463"/>
    <w:rsid w:val="004E5217"/>
    <w:rsid w:val="004E63C8"/>
    <w:rsid w:val="004F077E"/>
    <w:rsid w:val="004F0B51"/>
    <w:rsid w:val="004F2EB2"/>
    <w:rsid w:val="004F3431"/>
    <w:rsid w:val="004F4785"/>
    <w:rsid w:val="004F556F"/>
    <w:rsid w:val="004F789A"/>
    <w:rsid w:val="00501D8D"/>
    <w:rsid w:val="00503101"/>
    <w:rsid w:val="00505D84"/>
    <w:rsid w:val="00505FBD"/>
    <w:rsid w:val="0050642D"/>
    <w:rsid w:val="00506C81"/>
    <w:rsid w:val="0051063F"/>
    <w:rsid w:val="00512636"/>
    <w:rsid w:val="0051504D"/>
    <w:rsid w:val="0051548F"/>
    <w:rsid w:val="0051653E"/>
    <w:rsid w:val="00520CBE"/>
    <w:rsid w:val="00522254"/>
    <w:rsid w:val="005232E1"/>
    <w:rsid w:val="00524534"/>
    <w:rsid w:val="00526612"/>
    <w:rsid w:val="005278E0"/>
    <w:rsid w:val="00531EE0"/>
    <w:rsid w:val="0053383C"/>
    <w:rsid w:val="00533F21"/>
    <w:rsid w:val="00536101"/>
    <w:rsid w:val="00536DA4"/>
    <w:rsid w:val="00537238"/>
    <w:rsid w:val="00543A7F"/>
    <w:rsid w:val="00544353"/>
    <w:rsid w:val="005446B4"/>
    <w:rsid w:val="00545546"/>
    <w:rsid w:val="00545FDD"/>
    <w:rsid w:val="00546A31"/>
    <w:rsid w:val="00553850"/>
    <w:rsid w:val="005551A5"/>
    <w:rsid w:val="005562D9"/>
    <w:rsid w:val="00556AF5"/>
    <w:rsid w:val="005574CB"/>
    <w:rsid w:val="00557A1F"/>
    <w:rsid w:val="00557C6F"/>
    <w:rsid w:val="0056109D"/>
    <w:rsid w:val="0056317F"/>
    <w:rsid w:val="005652E2"/>
    <w:rsid w:val="00567F23"/>
    <w:rsid w:val="0057459F"/>
    <w:rsid w:val="005750C3"/>
    <w:rsid w:val="005759CA"/>
    <w:rsid w:val="00576824"/>
    <w:rsid w:val="005815B9"/>
    <w:rsid w:val="00581951"/>
    <w:rsid w:val="0058251F"/>
    <w:rsid w:val="0058475D"/>
    <w:rsid w:val="00585A1C"/>
    <w:rsid w:val="00585C00"/>
    <w:rsid w:val="00586459"/>
    <w:rsid w:val="005909FD"/>
    <w:rsid w:val="00592325"/>
    <w:rsid w:val="00593065"/>
    <w:rsid w:val="00595535"/>
    <w:rsid w:val="005A06ED"/>
    <w:rsid w:val="005A28B6"/>
    <w:rsid w:val="005A2F3E"/>
    <w:rsid w:val="005A355C"/>
    <w:rsid w:val="005A79F7"/>
    <w:rsid w:val="005B0304"/>
    <w:rsid w:val="005B1A73"/>
    <w:rsid w:val="005B1B3E"/>
    <w:rsid w:val="005B340E"/>
    <w:rsid w:val="005B3B38"/>
    <w:rsid w:val="005C194B"/>
    <w:rsid w:val="005C3E31"/>
    <w:rsid w:val="005C5B24"/>
    <w:rsid w:val="005C62F7"/>
    <w:rsid w:val="005C6536"/>
    <w:rsid w:val="005C703A"/>
    <w:rsid w:val="005D0163"/>
    <w:rsid w:val="005D0B71"/>
    <w:rsid w:val="005D0D70"/>
    <w:rsid w:val="005D3EA6"/>
    <w:rsid w:val="005D48DA"/>
    <w:rsid w:val="005D55C5"/>
    <w:rsid w:val="005D5B5D"/>
    <w:rsid w:val="005D5E67"/>
    <w:rsid w:val="005D6140"/>
    <w:rsid w:val="005D718D"/>
    <w:rsid w:val="005D7878"/>
    <w:rsid w:val="005D7F8C"/>
    <w:rsid w:val="005E1037"/>
    <w:rsid w:val="005E12F9"/>
    <w:rsid w:val="005E21BD"/>
    <w:rsid w:val="005E31E2"/>
    <w:rsid w:val="005E3C7E"/>
    <w:rsid w:val="005E531C"/>
    <w:rsid w:val="005E638B"/>
    <w:rsid w:val="005E65F4"/>
    <w:rsid w:val="005E74A3"/>
    <w:rsid w:val="005F066A"/>
    <w:rsid w:val="005F330E"/>
    <w:rsid w:val="005F5DC6"/>
    <w:rsid w:val="005F61CE"/>
    <w:rsid w:val="005F65DD"/>
    <w:rsid w:val="0060004A"/>
    <w:rsid w:val="00600490"/>
    <w:rsid w:val="006009DC"/>
    <w:rsid w:val="00601B18"/>
    <w:rsid w:val="0060261C"/>
    <w:rsid w:val="00603A65"/>
    <w:rsid w:val="0060577F"/>
    <w:rsid w:val="0061193D"/>
    <w:rsid w:val="00611BAD"/>
    <w:rsid w:val="00611E2E"/>
    <w:rsid w:val="00612E2C"/>
    <w:rsid w:val="006133EB"/>
    <w:rsid w:val="00613FD1"/>
    <w:rsid w:val="00614D07"/>
    <w:rsid w:val="00623056"/>
    <w:rsid w:val="00625AB4"/>
    <w:rsid w:val="0062777C"/>
    <w:rsid w:val="00632313"/>
    <w:rsid w:val="00633196"/>
    <w:rsid w:val="0063585D"/>
    <w:rsid w:val="006358BC"/>
    <w:rsid w:val="00635B10"/>
    <w:rsid w:val="00635E80"/>
    <w:rsid w:val="00636E5D"/>
    <w:rsid w:val="00637F44"/>
    <w:rsid w:val="00640E9D"/>
    <w:rsid w:val="006419BA"/>
    <w:rsid w:val="006434DF"/>
    <w:rsid w:val="00645C38"/>
    <w:rsid w:val="006461FE"/>
    <w:rsid w:val="006463C0"/>
    <w:rsid w:val="0064779C"/>
    <w:rsid w:val="0065026C"/>
    <w:rsid w:val="00650B22"/>
    <w:rsid w:val="0065310E"/>
    <w:rsid w:val="006540CF"/>
    <w:rsid w:val="006551D5"/>
    <w:rsid w:val="00657194"/>
    <w:rsid w:val="0065744C"/>
    <w:rsid w:val="00660BCC"/>
    <w:rsid w:val="00662BEF"/>
    <w:rsid w:val="006646AF"/>
    <w:rsid w:val="00670237"/>
    <w:rsid w:val="006725BB"/>
    <w:rsid w:val="00675363"/>
    <w:rsid w:val="00675E8C"/>
    <w:rsid w:val="00680BB3"/>
    <w:rsid w:val="006811C9"/>
    <w:rsid w:val="006813A0"/>
    <w:rsid w:val="0068209D"/>
    <w:rsid w:val="00682924"/>
    <w:rsid w:val="0068335E"/>
    <w:rsid w:val="00687B3A"/>
    <w:rsid w:val="00694606"/>
    <w:rsid w:val="006948EA"/>
    <w:rsid w:val="00696066"/>
    <w:rsid w:val="00697F73"/>
    <w:rsid w:val="006A088D"/>
    <w:rsid w:val="006A0E7C"/>
    <w:rsid w:val="006A3569"/>
    <w:rsid w:val="006A3B23"/>
    <w:rsid w:val="006A4035"/>
    <w:rsid w:val="006B10F8"/>
    <w:rsid w:val="006B2C8D"/>
    <w:rsid w:val="006B3DAC"/>
    <w:rsid w:val="006B7383"/>
    <w:rsid w:val="006C04DE"/>
    <w:rsid w:val="006C3F2A"/>
    <w:rsid w:val="006C43C6"/>
    <w:rsid w:val="006C4461"/>
    <w:rsid w:val="006C4BB1"/>
    <w:rsid w:val="006D1A82"/>
    <w:rsid w:val="006D1DEF"/>
    <w:rsid w:val="006D2BE9"/>
    <w:rsid w:val="006D3871"/>
    <w:rsid w:val="006D5467"/>
    <w:rsid w:val="006E1006"/>
    <w:rsid w:val="006E6083"/>
    <w:rsid w:val="006E69F0"/>
    <w:rsid w:val="006E6B30"/>
    <w:rsid w:val="006E7B8F"/>
    <w:rsid w:val="006F05D3"/>
    <w:rsid w:val="006F3089"/>
    <w:rsid w:val="006F3146"/>
    <w:rsid w:val="006F3662"/>
    <w:rsid w:val="006F3F84"/>
    <w:rsid w:val="006F4184"/>
    <w:rsid w:val="006F4695"/>
    <w:rsid w:val="006F4FCC"/>
    <w:rsid w:val="006F67A7"/>
    <w:rsid w:val="006F6BD4"/>
    <w:rsid w:val="006F6E3A"/>
    <w:rsid w:val="006F6FC2"/>
    <w:rsid w:val="006F7C18"/>
    <w:rsid w:val="00700C6A"/>
    <w:rsid w:val="0070535F"/>
    <w:rsid w:val="00705F58"/>
    <w:rsid w:val="00707A11"/>
    <w:rsid w:val="00713531"/>
    <w:rsid w:val="00717693"/>
    <w:rsid w:val="007219ED"/>
    <w:rsid w:val="00722416"/>
    <w:rsid w:val="00725B85"/>
    <w:rsid w:val="0073049E"/>
    <w:rsid w:val="0073051C"/>
    <w:rsid w:val="007312A3"/>
    <w:rsid w:val="00731FF2"/>
    <w:rsid w:val="0073208D"/>
    <w:rsid w:val="00733A01"/>
    <w:rsid w:val="00735587"/>
    <w:rsid w:val="00735F79"/>
    <w:rsid w:val="0073691D"/>
    <w:rsid w:val="007377CF"/>
    <w:rsid w:val="00740003"/>
    <w:rsid w:val="0074040C"/>
    <w:rsid w:val="00743533"/>
    <w:rsid w:val="00743F43"/>
    <w:rsid w:val="00750DB3"/>
    <w:rsid w:val="007514DF"/>
    <w:rsid w:val="00752F5A"/>
    <w:rsid w:val="00753F57"/>
    <w:rsid w:val="0075412E"/>
    <w:rsid w:val="00755622"/>
    <w:rsid w:val="00755CE0"/>
    <w:rsid w:val="00757966"/>
    <w:rsid w:val="007608CE"/>
    <w:rsid w:val="00762B3F"/>
    <w:rsid w:val="007637D4"/>
    <w:rsid w:val="00763AA7"/>
    <w:rsid w:val="007642DB"/>
    <w:rsid w:val="0076524E"/>
    <w:rsid w:val="007714C7"/>
    <w:rsid w:val="00771A9D"/>
    <w:rsid w:val="00772582"/>
    <w:rsid w:val="00774980"/>
    <w:rsid w:val="00776413"/>
    <w:rsid w:val="007776C9"/>
    <w:rsid w:val="00777B34"/>
    <w:rsid w:val="00782694"/>
    <w:rsid w:val="00782995"/>
    <w:rsid w:val="00783618"/>
    <w:rsid w:val="0078381B"/>
    <w:rsid w:val="00784FD3"/>
    <w:rsid w:val="00785BE7"/>
    <w:rsid w:val="00787F60"/>
    <w:rsid w:val="007915E2"/>
    <w:rsid w:val="00792BD3"/>
    <w:rsid w:val="00792EB8"/>
    <w:rsid w:val="0079310F"/>
    <w:rsid w:val="00794872"/>
    <w:rsid w:val="0079490E"/>
    <w:rsid w:val="0079525E"/>
    <w:rsid w:val="007A0CAB"/>
    <w:rsid w:val="007A2471"/>
    <w:rsid w:val="007A2591"/>
    <w:rsid w:val="007A2D8F"/>
    <w:rsid w:val="007A531D"/>
    <w:rsid w:val="007A53B7"/>
    <w:rsid w:val="007A5C95"/>
    <w:rsid w:val="007A6EF7"/>
    <w:rsid w:val="007A702A"/>
    <w:rsid w:val="007B0D3D"/>
    <w:rsid w:val="007B5E31"/>
    <w:rsid w:val="007B5FD4"/>
    <w:rsid w:val="007C1B7B"/>
    <w:rsid w:val="007C41EC"/>
    <w:rsid w:val="007C423F"/>
    <w:rsid w:val="007C573C"/>
    <w:rsid w:val="007C6374"/>
    <w:rsid w:val="007C6EDB"/>
    <w:rsid w:val="007D016C"/>
    <w:rsid w:val="007D27CC"/>
    <w:rsid w:val="007D39D2"/>
    <w:rsid w:val="007D3C1D"/>
    <w:rsid w:val="007D5762"/>
    <w:rsid w:val="007E1A9D"/>
    <w:rsid w:val="007E1B8D"/>
    <w:rsid w:val="007E2EF6"/>
    <w:rsid w:val="007E389B"/>
    <w:rsid w:val="007E6791"/>
    <w:rsid w:val="007E7F91"/>
    <w:rsid w:val="007F1B14"/>
    <w:rsid w:val="007F339C"/>
    <w:rsid w:val="007F38FE"/>
    <w:rsid w:val="007F39EB"/>
    <w:rsid w:val="007F44B2"/>
    <w:rsid w:val="0080046A"/>
    <w:rsid w:val="00800FD4"/>
    <w:rsid w:val="00801B20"/>
    <w:rsid w:val="00801D57"/>
    <w:rsid w:val="00804063"/>
    <w:rsid w:val="00804E07"/>
    <w:rsid w:val="00805AF1"/>
    <w:rsid w:val="00806787"/>
    <w:rsid w:val="00806B91"/>
    <w:rsid w:val="00814984"/>
    <w:rsid w:val="008154B4"/>
    <w:rsid w:val="00817A2C"/>
    <w:rsid w:val="008206AD"/>
    <w:rsid w:val="00823C09"/>
    <w:rsid w:val="00825259"/>
    <w:rsid w:val="0082595E"/>
    <w:rsid w:val="00826F69"/>
    <w:rsid w:val="008273FA"/>
    <w:rsid w:val="00827A52"/>
    <w:rsid w:val="008312B6"/>
    <w:rsid w:val="0083214E"/>
    <w:rsid w:val="00832B4C"/>
    <w:rsid w:val="00832DB3"/>
    <w:rsid w:val="0083370D"/>
    <w:rsid w:val="00834577"/>
    <w:rsid w:val="00835788"/>
    <w:rsid w:val="008358AA"/>
    <w:rsid w:val="008366D2"/>
    <w:rsid w:val="0083733C"/>
    <w:rsid w:val="008378DF"/>
    <w:rsid w:val="00837963"/>
    <w:rsid w:val="00840AAF"/>
    <w:rsid w:val="0084479F"/>
    <w:rsid w:val="00845091"/>
    <w:rsid w:val="00845ECC"/>
    <w:rsid w:val="008479A9"/>
    <w:rsid w:val="00850493"/>
    <w:rsid w:val="008513F9"/>
    <w:rsid w:val="00851A0F"/>
    <w:rsid w:val="00851FDF"/>
    <w:rsid w:val="0085262F"/>
    <w:rsid w:val="00855310"/>
    <w:rsid w:val="00855979"/>
    <w:rsid w:val="008564B2"/>
    <w:rsid w:val="00857E91"/>
    <w:rsid w:val="0086059D"/>
    <w:rsid w:val="00861A2F"/>
    <w:rsid w:val="00862677"/>
    <w:rsid w:val="00863B01"/>
    <w:rsid w:val="00864360"/>
    <w:rsid w:val="0086488B"/>
    <w:rsid w:val="00865F79"/>
    <w:rsid w:val="0086725B"/>
    <w:rsid w:val="00871197"/>
    <w:rsid w:val="008737E9"/>
    <w:rsid w:val="008749AC"/>
    <w:rsid w:val="00874B44"/>
    <w:rsid w:val="0087620D"/>
    <w:rsid w:val="00876EF2"/>
    <w:rsid w:val="008822B8"/>
    <w:rsid w:val="0088291E"/>
    <w:rsid w:val="00885E1F"/>
    <w:rsid w:val="0088612A"/>
    <w:rsid w:val="00890516"/>
    <w:rsid w:val="008916BE"/>
    <w:rsid w:val="00891A38"/>
    <w:rsid w:val="00893161"/>
    <w:rsid w:val="00893F79"/>
    <w:rsid w:val="008975D5"/>
    <w:rsid w:val="008A060F"/>
    <w:rsid w:val="008A16C0"/>
    <w:rsid w:val="008A1F3F"/>
    <w:rsid w:val="008A2757"/>
    <w:rsid w:val="008A4ED7"/>
    <w:rsid w:val="008A5694"/>
    <w:rsid w:val="008A5880"/>
    <w:rsid w:val="008A77DA"/>
    <w:rsid w:val="008B0F15"/>
    <w:rsid w:val="008B14CF"/>
    <w:rsid w:val="008B165D"/>
    <w:rsid w:val="008B3461"/>
    <w:rsid w:val="008B62C8"/>
    <w:rsid w:val="008B64A2"/>
    <w:rsid w:val="008C0C2E"/>
    <w:rsid w:val="008C185E"/>
    <w:rsid w:val="008C1C70"/>
    <w:rsid w:val="008C2CDD"/>
    <w:rsid w:val="008D119D"/>
    <w:rsid w:val="008D1B87"/>
    <w:rsid w:val="008D1FD8"/>
    <w:rsid w:val="008D210A"/>
    <w:rsid w:val="008D2622"/>
    <w:rsid w:val="008D2A31"/>
    <w:rsid w:val="008D383A"/>
    <w:rsid w:val="008D41C2"/>
    <w:rsid w:val="008D591D"/>
    <w:rsid w:val="008D5C0A"/>
    <w:rsid w:val="008E3328"/>
    <w:rsid w:val="008E341B"/>
    <w:rsid w:val="008F0D74"/>
    <w:rsid w:val="008F1E90"/>
    <w:rsid w:val="008F568D"/>
    <w:rsid w:val="008F6663"/>
    <w:rsid w:val="008F7C47"/>
    <w:rsid w:val="00900307"/>
    <w:rsid w:val="0090257B"/>
    <w:rsid w:val="009031FD"/>
    <w:rsid w:val="009061FD"/>
    <w:rsid w:val="0090646B"/>
    <w:rsid w:val="00911770"/>
    <w:rsid w:val="00911E8A"/>
    <w:rsid w:val="00912904"/>
    <w:rsid w:val="00915669"/>
    <w:rsid w:val="00915CA1"/>
    <w:rsid w:val="00915DE0"/>
    <w:rsid w:val="00921113"/>
    <w:rsid w:val="00921DF1"/>
    <w:rsid w:val="00922789"/>
    <w:rsid w:val="00923616"/>
    <w:rsid w:val="009244EA"/>
    <w:rsid w:val="00925A19"/>
    <w:rsid w:val="00925AE6"/>
    <w:rsid w:val="00925D54"/>
    <w:rsid w:val="009264F8"/>
    <w:rsid w:val="0092656D"/>
    <w:rsid w:val="00931FD2"/>
    <w:rsid w:val="00932095"/>
    <w:rsid w:val="009349EE"/>
    <w:rsid w:val="00937766"/>
    <w:rsid w:val="0094374F"/>
    <w:rsid w:val="0094375F"/>
    <w:rsid w:val="0094419C"/>
    <w:rsid w:val="00945293"/>
    <w:rsid w:val="009463BC"/>
    <w:rsid w:val="00946B39"/>
    <w:rsid w:val="00947BBB"/>
    <w:rsid w:val="009506A8"/>
    <w:rsid w:val="00950C37"/>
    <w:rsid w:val="00951844"/>
    <w:rsid w:val="00951ECE"/>
    <w:rsid w:val="00952246"/>
    <w:rsid w:val="00952A79"/>
    <w:rsid w:val="00954A0C"/>
    <w:rsid w:val="00957123"/>
    <w:rsid w:val="0096087C"/>
    <w:rsid w:val="00963ED3"/>
    <w:rsid w:val="00964A94"/>
    <w:rsid w:val="00965616"/>
    <w:rsid w:val="009657CB"/>
    <w:rsid w:val="00970AE2"/>
    <w:rsid w:val="009721B5"/>
    <w:rsid w:val="00974046"/>
    <w:rsid w:val="00976B8F"/>
    <w:rsid w:val="00980146"/>
    <w:rsid w:val="009806BF"/>
    <w:rsid w:val="009812DF"/>
    <w:rsid w:val="00982576"/>
    <w:rsid w:val="00984ADC"/>
    <w:rsid w:val="00987687"/>
    <w:rsid w:val="00987973"/>
    <w:rsid w:val="00991BA7"/>
    <w:rsid w:val="00992732"/>
    <w:rsid w:val="00992B1C"/>
    <w:rsid w:val="00992EAE"/>
    <w:rsid w:val="00993F67"/>
    <w:rsid w:val="009946D6"/>
    <w:rsid w:val="00994C36"/>
    <w:rsid w:val="00995ACF"/>
    <w:rsid w:val="00997971"/>
    <w:rsid w:val="009A60F0"/>
    <w:rsid w:val="009A631C"/>
    <w:rsid w:val="009A6E85"/>
    <w:rsid w:val="009A7E93"/>
    <w:rsid w:val="009B10D5"/>
    <w:rsid w:val="009B371C"/>
    <w:rsid w:val="009B40FE"/>
    <w:rsid w:val="009C01D2"/>
    <w:rsid w:val="009C03E1"/>
    <w:rsid w:val="009C16D9"/>
    <w:rsid w:val="009C1DEE"/>
    <w:rsid w:val="009C25C9"/>
    <w:rsid w:val="009C2AF9"/>
    <w:rsid w:val="009C5C8B"/>
    <w:rsid w:val="009C5DB9"/>
    <w:rsid w:val="009C6050"/>
    <w:rsid w:val="009C605A"/>
    <w:rsid w:val="009D1421"/>
    <w:rsid w:val="009D3249"/>
    <w:rsid w:val="009D32A4"/>
    <w:rsid w:val="009D3B1B"/>
    <w:rsid w:val="009D3E34"/>
    <w:rsid w:val="009D69AD"/>
    <w:rsid w:val="009D7E11"/>
    <w:rsid w:val="009E0610"/>
    <w:rsid w:val="009E3659"/>
    <w:rsid w:val="009E5AF2"/>
    <w:rsid w:val="009E5FED"/>
    <w:rsid w:val="009E617B"/>
    <w:rsid w:val="009E7150"/>
    <w:rsid w:val="009F18F5"/>
    <w:rsid w:val="009F2BD7"/>
    <w:rsid w:val="009F60F1"/>
    <w:rsid w:val="00A0019A"/>
    <w:rsid w:val="00A049F8"/>
    <w:rsid w:val="00A0555F"/>
    <w:rsid w:val="00A10E1F"/>
    <w:rsid w:val="00A11B57"/>
    <w:rsid w:val="00A13572"/>
    <w:rsid w:val="00A135BA"/>
    <w:rsid w:val="00A14223"/>
    <w:rsid w:val="00A14B77"/>
    <w:rsid w:val="00A17BB3"/>
    <w:rsid w:val="00A2041E"/>
    <w:rsid w:val="00A20E0C"/>
    <w:rsid w:val="00A212A5"/>
    <w:rsid w:val="00A21515"/>
    <w:rsid w:val="00A26C3D"/>
    <w:rsid w:val="00A26D66"/>
    <w:rsid w:val="00A35AAD"/>
    <w:rsid w:val="00A36D31"/>
    <w:rsid w:val="00A37650"/>
    <w:rsid w:val="00A40D62"/>
    <w:rsid w:val="00A40D63"/>
    <w:rsid w:val="00A40DF9"/>
    <w:rsid w:val="00A41F82"/>
    <w:rsid w:val="00A42463"/>
    <w:rsid w:val="00A42822"/>
    <w:rsid w:val="00A459C4"/>
    <w:rsid w:val="00A45F0E"/>
    <w:rsid w:val="00A517E1"/>
    <w:rsid w:val="00A52F8B"/>
    <w:rsid w:val="00A537FA"/>
    <w:rsid w:val="00A5380A"/>
    <w:rsid w:val="00A53C9A"/>
    <w:rsid w:val="00A5418B"/>
    <w:rsid w:val="00A56FC6"/>
    <w:rsid w:val="00A577DC"/>
    <w:rsid w:val="00A607A3"/>
    <w:rsid w:val="00A62FA7"/>
    <w:rsid w:val="00A6389A"/>
    <w:rsid w:val="00A650EB"/>
    <w:rsid w:val="00A6522E"/>
    <w:rsid w:val="00A65F4C"/>
    <w:rsid w:val="00A66084"/>
    <w:rsid w:val="00A66C7D"/>
    <w:rsid w:val="00A67D45"/>
    <w:rsid w:val="00A708E8"/>
    <w:rsid w:val="00A71D00"/>
    <w:rsid w:val="00A73653"/>
    <w:rsid w:val="00A75EED"/>
    <w:rsid w:val="00A7642A"/>
    <w:rsid w:val="00A76842"/>
    <w:rsid w:val="00A80E8F"/>
    <w:rsid w:val="00A817D3"/>
    <w:rsid w:val="00A8682B"/>
    <w:rsid w:val="00A86EE3"/>
    <w:rsid w:val="00A91364"/>
    <w:rsid w:val="00A921BB"/>
    <w:rsid w:val="00A929AF"/>
    <w:rsid w:val="00A92C10"/>
    <w:rsid w:val="00A93E90"/>
    <w:rsid w:val="00A946E3"/>
    <w:rsid w:val="00A95225"/>
    <w:rsid w:val="00A955AD"/>
    <w:rsid w:val="00A970A5"/>
    <w:rsid w:val="00AA2CF0"/>
    <w:rsid w:val="00AA5838"/>
    <w:rsid w:val="00AA58C9"/>
    <w:rsid w:val="00AA69B3"/>
    <w:rsid w:val="00AA7271"/>
    <w:rsid w:val="00AB0169"/>
    <w:rsid w:val="00AB084E"/>
    <w:rsid w:val="00AB73B0"/>
    <w:rsid w:val="00AC1327"/>
    <w:rsid w:val="00AC1A13"/>
    <w:rsid w:val="00AC2A93"/>
    <w:rsid w:val="00AC3695"/>
    <w:rsid w:val="00AC39E8"/>
    <w:rsid w:val="00AC4921"/>
    <w:rsid w:val="00AC4E25"/>
    <w:rsid w:val="00AC54F9"/>
    <w:rsid w:val="00AC5B56"/>
    <w:rsid w:val="00AC6944"/>
    <w:rsid w:val="00AD1EFD"/>
    <w:rsid w:val="00AD2E32"/>
    <w:rsid w:val="00AD6413"/>
    <w:rsid w:val="00AE0109"/>
    <w:rsid w:val="00AE1B0B"/>
    <w:rsid w:val="00AE2A45"/>
    <w:rsid w:val="00AE4CF3"/>
    <w:rsid w:val="00AE561D"/>
    <w:rsid w:val="00AF0672"/>
    <w:rsid w:val="00AF24F0"/>
    <w:rsid w:val="00AF3BBB"/>
    <w:rsid w:val="00AF5729"/>
    <w:rsid w:val="00AF7690"/>
    <w:rsid w:val="00AF7FF9"/>
    <w:rsid w:val="00B000F6"/>
    <w:rsid w:val="00B01CD2"/>
    <w:rsid w:val="00B020CE"/>
    <w:rsid w:val="00B047C8"/>
    <w:rsid w:val="00B04C04"/>
    <w:rsid w:val="00B05BC2"/>
    <w:rsid w:val="00B05C2D"/>
    <w:rsid w:val="00B05DC0"/>
    <w:rsid w:val="00B10459"/>
    <w:rsid w:val="00B10E6C"/>
    <w:rsid w:val="00B12066"/>
    <w:rsid w:val="00B13182"/>
    <w:rsid w:val="00B152A7"/>
    <w:rsid w:val="00B1536F"/>
    <w:rsid w:val="00B15FF5"/>
    <w:rsid w:val="00B1633D"/>
    <w:rsid w:val="00B1695F"/>
    <w:rsid w:val="00B20256"/>
    <w:rsid w:val="00B220D8"/>
    <w:rsid w:val="00B22990"/>
    <w:rsid w:val="00B22DD5"/>
    <w:rsid w:val="00B265C5"/>
    <w:rsid w:val="00B26F97"/>
    <w:rsid w:val="00B276AB"/>
    <w:rsid w:val="00B27709"/>
    <w:rsid w:val="00B30AB7"/>
    <w:rsid w:val="00B320AE"/>
    <w:rsid w:val="00B32433"/>
    <w:rsid w:val="00B33B81"/>
    <w:rsid w:val="00B33BA8"/>
    <w:rsid w:val="00B351D6"/>
    <w:rsid w:val="00B35843"/>
    <w:rsid w:val="00B3677B"/>
    <w:rsid w:val="00B36A90"/>
    <w:rsid w:val="00B377BD"/>
    <w:rsid w:val="00B40FDD"/>
    <w:rsid w:val="00B426DB"/>
    <w:rsid w:val="00B45997"/>
    <w:rsid w:val="00B46649"/>
    <w:rsid w:val="00B46839"/>
    <w:rsid w:val="00B46956"/>
    <w:rsid w:val="00B46D1B"/>
    <w:rsid w:val="00B500F3"/>
    <w:rsid w:val="00B50983"/>
    <w:rsid w:val="00B51478"/>
    <w:rsid w:val="00B51CB8"/>
    <w:rsid w:val="00B5261E"/>
    <w:rsid w:val="00B527C2"/>
    <w:rsid w:val="00B52B5D"/>
    <w:rsid w:val="00B53150"/>
    <w:rsid w:val="00B53E8E"/>
    <w:rsid w:val="00B54542"/>
    <w:rsid w:val="00B551BA"/>
    <w:rsid w:val="00B56E0B"/>
    <w:rsid w:val="00B606E5"/>
    <w:rsid w:val="00B61FBD"/>
    <w:rsid w:val="00B620BF"/>
    <w:rsid w:val="00B622B4"/>
    <w:rsid w:val="00B64656"/>
    <w:rsid w:val="00B6498B"/>
    <w:rsid w:val="00B6579E"/>
    <w:rsid w:val="00B65B30"/>
    <w:rsid w:val="00B669C1"/>
    <w:rsid w:val="00B67BD6"/>
    <w:rsid w:val="00B67EA5"/>
    <w:rsid w:val="00B705D2"/>
    <w:rsid w:val="00B70DA5"/>
    <w:rsid w:val="00B7347B"/>
    <w:rsid w:val="00B73747"/>
    <w:rsid w:val="00B74227"/>
    <w:rsid w:val="00B74713"/>
    <w:rsid w:val="00B74CA9"/>
    <w:rsid w:val="00B7603D"/>
    <w:rsid w:val="00B77322"/>
    <w:rsid w:val="00B8195F"/>
    <w:rsid w:val="00B83EB1"/>
    <w:rsid w:val="00B847A8"/>
    <w:rsid w:val="00B85E85"/>
    <w:rsid w:val="00B86147"/>
    <w:rsid w:val="00B86F2E"/>
    <w:rsid w:val="00B90B31"/>
    <w:rsid w:val="00B94682"/>
    <w:rsid w:val="00B94FD5"/>
    <w:rsid w:val="00B975B6"/>
    <w:rsid w:val="00BA0FC1"/>
    <w:rsid w:val="00BA1670"/>
    <w:rsid w:val="00BA3091"/>
    <w:rsid w:val="00BA442F"/>
    <w:rsid w:val="00BA4879"/>
    <w:rsid w:val="00BA4B1E"/>
    <w:rsid w:val="00BA5579"/>
    <w:rsid w:val="00BA595D"/>
    <w:rsid w:val="00BA7C55"/>
    <w:rsid w:val="00BB2ADA"/>
    <w:rsid w:val="00BB2FE8"/>
    <w:rsid w:val="00BB7912"/>
    <w:rsid w:val="00BC273F"/>
    <w:rsid w:val="00BC3B0A"/>
    <w:rsid w:val="00BC41A1"/>
    <w:rsid w:val="00BC5FC3"/>
    <w:rsid w:val="00BC661B"/>
    <w:rsid w:val="00BC6770"/>
    <w:rsid w:val="00BC6876"/>
    <w:rsid w:val="00BC78B5"/>
    <w:rsid w:val="00BD332B"/>
    <w:rsid w:val="00BD5AD0"/>
    <w:rsid w:val="00BD61F0"/>
    <w:rsid w:val="00BD74BE"/>
    <w:rsid w:val="00BD7802"/>
    <w:rsid w:val="00BD7C16"/>
    <w:rsid w:val="00BE1A09"/>
    <w:rsid w:val="00BE1DF9"/>
    <w:rsid w:val="00BE3D17"/>
    <w:rsid w:val="00BE4F02"/>
    <w:rsid w:val="00BE708A"/>
    <w:rsid w:val="00BE7979"/>
    <w:rsid w:val="00BF09F2"/>
    <w:rsid w:val="00BF26E7"/>
    <w:rsid w:val="00BF5A38"/>
    <w:rsid w:val="00BF6938"/>
    <w:rsid w:val="00C00E97"/>
    <w:rsid w:val="00C04658"/>
    <w:rsid w:val="00C05792"/>
    <w:rsid w:val="00C078CF"/>
    <w:rsid w:val="00C110A6"/>
    <w:rsid w:val="00C12253"/>
    <w:rsid w:val="00C13C1E"/>
    <w:rsid w:val="00C16AD7"/>
    <w:rsid w:val="00C20E93"/>
    <w:rsid w:val="00C23981"/>
    <w:rsid w:val="00C23FB6"/>
    <w:rsid w:val="00C265D9"/>
    <w:rsid w:val="00C27155"/>
    <w:rsid w:val="00C2718D"/>
    <w:rsid w:val="00C27918"/>
    <w:rsid w:val="00C3044E"/>
    <w:rsid w:val="00C30C3D"/>
    <w:rsid w:val="00C30DD1"/>
    <w:rsid w:val="00C30F12"/>
    <w:rsid w:val="00C3150A"/>
    <w:rsid w:val="00C321BE"/>
    <w:rsid w:val="00C325A9"/>
    <w:rsid w:val="00C350CB"/>
    <w:rsid w:val="00C3739F"/>
    <w:rsid w:val="00C419FC"/>
    <w:rsid w:val="00C424CD"/>
    <w:rsid w:val="00C42839"/>
    <w:rsid w:val="00C42F89"/>
    <w:rsid w:val="00C46298"/>
    <w:rsid w:val="00C52463"/>
    <w:rsid w:val="00C53862"/>
    <w:rsid w:val="00C5530C"/>
    <w:rsid w:val="00C57116"/>
    <w:rsid w:val="00C60E48"/>
    <w:rsid w:val="00C63A46"/>
    <w:rsid w:val="00C66222"/>
    <w:rsid w:val="00C7178C"/>
    <w:rsid w:val="00C71821"/>
    <w:rsid w:val="00C71E7B"/>
    <w:rsid w:val="00C729C7"/>
    <w:rsid w:val="00C75520"/>
    <w:rsid w:val="00C768DA"/>
    <w:rsid w:val="00C80E38"/>
    <w:rsid w:val="00C80E8A"/>
    <w:rsid w:val="00C81B92"/>
    <w:rsid w:val="00C83685"/>
    <w:rsid w:val="00C838BC"/>
    <w:rsid w:val="00C85793"/>
    <w:rsid w:val="00C86931"/>
    <w:rsid w:val="00C87E44"/>
    <w:rsid w:val="00C94286"/>
    <w:rsid w:val="00C95478"/>
    <w:rsid w:val="00C955D6"/>
    <w:rsid w:val="00CA144E"/>
    <w:rsid w:val="00CA1CE2"/>
    <w:rsid w:val="00CA5A09"/>
    <w:rsid w:val="00CB1229"/>
    <w:rsid w:val="00CB5D50"/>
    <w:rsid w:val="00CC051B"/>
    <w:rsid w:val="00CC276D"/>
    <w:rsid w:val="00CC28AE"/>
    <w:rsid w:val="00CC3566"/>
    <w:rsid w:val="00CC3F47"/>
    <w:rsid w:val="00CC40DB"/>
    <w:rsid w:val="00CC5B34"/>
    <w:rsid w:val="00CC5BE3"/>
    <w:rsid w:val="00CC632B"/>
    <w:rsid w:val="00CC77EC"/>
    <w:rsid w:val="00CD229F"/>
    <w:rsid w:val="00CD3B6F"/>
    <w:rsid w:val="00CD4F6F"/>
    <w:rsid w:val="00CD5ACA"/>
    <w:rsid w:val="00CD686D"/>
    <w:rsid w:val="00CD6B9F"/>
    <w:rsid w:val="00CE01A6"/>
    <w:rsid w:val="00CE2E5A"/>
    <w:rsid w:val="00CE7E67"/>
    <w:rsid w:val="00CF02D7"/>
    <w:rsid w:val="00CF4FE3"/>
    <w:rsid w:val="00CF5F24"/>
    <w:rsid w:val="00CF7471"/>
    <w:rsid w:val="00D003CB"/>
    <w:rsid w:val="00D01DBB"/>
    <w:rsid w:val="00D141BF"/>
    <w:rsid w:val="00D16775"/>
    <w:rsid w:val="00D16B9D"/>
    <w:rsid w:val="00D209B9"/>
    <w:rsid w:val="00D21361"/>
    <w:rsid w:val="00D21EF9"/>
    <w:rsid w:val="00D23821"/>
    <w:rsid w:val="00D25AF0"/>
    <w:rsid w:val="00D31FED"/>
    <w:rsid w:val="00D32311"/>
    <w:rsid w:val="00D32C89"/>
    <w:rsid w:val="00D3305F"/>
    <w:rsid w:val="00D3361C"/>
    <w:rsid w:val="00D337B7"/>
    <w:rsid w:val="00D33ABA"/>
    <w:rsid w:val="00D3508C"/>
    <w:rsid w:val="00D35F6E"/>
    <w:rsid w:val="00D4098A"/>
    <w:rsid w:val="00D41648"/>
    <w:rsid w:val="00D4293E"/>
    <w:rsid w:val="00D42BEE"/>
    <w:rsid w:val="00D43282"/>
    <w:rsid w:val="00D4491B"/>
    <w:rsid w:val="00D46797"/>
    <w:rsid w:val="00D474CD"/>
    <w:rsid w:val="00D5177C"/>
    <w:rsid w:val="00D51FC7"/>
    <w:rsid w:val="00D56E62"/>
    <w:rsid w:val="00D602E7"/>
    <w:rsid w:val="00D64592"/>
    <w:rsid w:val="00D652AD"/>
    <w:rsid w:val="00D653CF"/>
    <w:rsid w:val="00D656C4"/>
    <w:rsid w:val="00D71325"/>
    <w:rsid w:val="00D72236"/>
    <w:rsid w:val="00D72893"/>
    <w:rsid w:val="00D72A87"/>
    <w:rsid w:val="00D73A7F"/>
    <w:rsid w:val="00D75C83"/>
    <w:rsid w:val="00D75E7A"/>
    <w:rsid w:val="00D76CC3"/>
    <w:rsid w:val="00D81DC2"/>
    <w:rsid w:val="00D84408"/>
    <w:rsid w:val="00D85873"/>
    <w:rsid w:val="00D86519"/>
    <w:rsid w:val="00D8779F"/>
    <w:rsid w:val="00D915CC"/>
    <w:rsid w:val="00D91BC5"/>
    <w:rsid w:val="00D92197"/>
    <w:rsid w:val="00D97218"/>
    <w:rsid w:val="00DA0E7E"/>
    <w:rsid w:val="00DA1A1B"/>
    <w:rsid w:val="00DA3478"/>
    <w:rsid w:val="00DA3DB1"/>
    <w:rsid w:val="00DA64D3"/>
    <w:rsid w:val="00DA66DA"/>
    <w:rsid w:val="00DB1081"/>
    <w:rsid w:val="00DB33A4"/>
    <w:rsid w:val="00DB3781"/>
    <w:rsid w:val="00DB48B1"/>
    <w:rsid w:val="00DB52DA"/>
    <w:rsid w:val="00DB5550"/>
    <w:rsid w:val="00DB5710"/>
    <w:rsid w:val="00DB6248"/>
    <w:rsid w:val="00DB7C14"/>
    <w:rsid w:val="00DB7EAB"/>
    <w:rsid w:val="00DC0573"/>
    <w:rsid w:val="00DC0FA0"/>
    <w:rsid w:val="00DC1121"/>
    <w:rsid w:val="00DC1FF3"/>
    <w:rsid w:val="00DC22DD"/>
    <w:rsid w:val="00DC325B"/>
    <w:rsid w:val="00DC4357"/>
    <w:rsid w:val="00DC652F"/>
    <w:rsid w:val="00DC7B42"/>
    <w:rsid w:val="00DD181B"/>
    <w:rsid w:val="00DD1878"/>
    <w:rsid w:val="00DD2513"/>
    <w:rsid w:val="00DD2654"/>
    <w:rsid w:val="00DD3C11"/>
    <w:rsid w:val="00DD4368"/>
    <w:rsid w:val="00DD6D51"/>
    <w:rsid w:val="00DD76C4"/>
    <w:rsid w:val="00DD7E5D"/>
    <w:rsid w:val="00DE0BD3"/>
    <w:rsid w:val="00DE24B7"/>
    <w:rsid w:val="00DE4E4F"/>
    <w:rsid w:val="00DE5D05"/>
    <w:rsid w:val="00DE6A84"/>
    <w:rsid w:val="00DF0481"/>
    <w:rsid w:val="00DF0F8C"/>
    <w:rsid w:val="00DF2A2A"/>
    <w:rsid w:val="00DF2D31"/>
    <w:rsid w:val="00DF5E61"/>
    <w:rsid w:val="00DF688C"/>
    <w:rsid w:val="00DF7A7D"/>
    <w:rsid w:val="00DF7B10"/>
    <w:rsid w:val="00E0012D"/>
    <w:rsid w:val="00E00C1E"/>
    <w:rsid w:val="00E013D7"/>
    <w:rsid w:val="00E01B03"/>
    <w:rsid w:val="00E046EA"/>
    <w:rsid w:val="00E062BA"/>
    <w:rsid w:val="00E06F82"/>
    <w:rsid w:val="00E1107D"/>
    <w:rsid w:val="00E1358A"/>
    <w:rsid w:val="00E14066"/>
    <w:rsid w:val="00E144A3"/>
    <w:rsid w:val="00E1471F"/>
    <w:rsid w:val="00E16057"/>
    <w:rsid w:val="00E168B3"/>
    <w:rsid w:val="00E21851"/>
    <w:rsid w:val="00E2301A"/>
    <w:rsid w:val="00E255C6"/>
    <w:rsid w:val="00E27356"/>
    <w:rsid w:val="00E3271F"/>
    <w:rsid w:val="00E337BD"/>
    <w:rsid w:val="00E33C03"/>
    <w:rsid w:val="00E33D43"/>
    <w:rsid w:val="00E351F4"/>
    <w:rsid w:val="00E360A9"/>
    <w:rsid w:val="00E363BF"/>
    <w:rsid w:val="00E420B3"/>
    <w:rsid w:val="00E42967"/>
    <w:rsid w:val="00E43274"/>
    <w:rsid w:val="00E54309"/>
    <w:rsid w:val="00E54F08"/>
    <w:rsid w:val="00E5557E"/>
    <w:rsid w:val="00E55AA7"/>
    <w:rsid w:val="00E55B53"/>
    <w:rsid w:val="00E572CA"/>
    <w:rsid w:val="00E57C28"/>
    <w:rsid w:val="00E6284F"/>
    <w:rsid w:val="00E641CA"/>
    <w:rsid w:val="00E64408"/>
    <w:rsid w:val="00E660FE"/>
    <w:rsid w:val="00E66F21"/>
    <w:rsid w:val="00E70A3B"/>
    <w:rsid w:val="00E70B75"/>
    <w:rsid w:val="00E718B8"/>
    <w:rsid w:val="00E748C8"/>
    <w:rsid w:val="00E7600C"/>
    <w:rsid w:val="00E763FA"/>
    <w:rsid w:val="00E769F9"/>
    <w:rsid w:val="00E85A1A"/>
    <w:rsid w:val="00E87409"/>
    <w:rsid w:val="00E87C5E"/>
    <w:rsid w:val="00E90494"/>
    <w:rsid w:val="00E911FA"/>
    <w:rsid w:val="00E91D5E"/>
    <w:rsid w:val="00E92260"/>
    <w:rsid w:val="00E944DB"/>
    <w:rsid w:val="00E94CD8"/>
    <w:rsid w:val="00E95025"/>
    <w:rsid w:val="00E96810"/>
    <w:rsid w:val="00EA107C"/>
    <w:rsid w:val="00EA1832"/>
    <w:rsid w:val="00EA1C55"/>
    <w:rsid w:val="00EA2D07"/>
    <w:rsid w:val="00EA66BF"/>
    <w:rsid w:val="00EA6B56"/>
    <w:rsid w:val="00EA7776"/>
    <w:rsid w:val="00EA7824"/>
    <w:rsid w:val="00EB0F52"/>
    <w:rsid w:val="00EB104A"/>
    <w:rsid w:val="00EB1977"/>
    <w:rsid w:val="00EB1BE7"/>
    <w:rsid w:val="00EB4985"/>
    <w:rsid w:val="00EB4C98"/>
    <w:rsid w:val="00EB5AA0"/>
    <w:rsid w:val="00EB7B66"/>
    <w:rsid w:val="00EC3B9F"/>
    <w:rsid w:val="00EC43B9"/>
    <w:rsid w:val="00EC6B6A"/>
    <w:rsid w:val="00EC7578"/>
    <w:rsid w:val="00EC799A"/>
    <w:rsid w:val="00ED0A76"/>
    <w:rsid w:val="00ED1255"/>
    <w:rsid w:val="00ED1F3B"/>
    <w:rsid w:val="00ED2E38"/>
    <w:rsid w:val="00ED44E4"/>
    <w:rsid w:val="00ED7296"/>
    <w:rsid w:val="00EE1213"/>
    <w:rsid w:val="00EE6330"/>
    <w:rsid w:val="00EE674A"/>
    <w:rsid w:val="00EF11FA"/>
    <w:rsid w:val="00EF2422"/>
    <w:rsid w:val="00EF591A"/>
    <w:rsid w:val="00EF6700"/>
    <w:rsid w:val="00EF6AEE"/>
    <w:rsid w:val="00EF6B52"/>
    <w:rsid w:val="00F0071E"/>
    <w:rsid w:val="00F02890"/>
    <w:rsid w:val="00F02D02"/>
    <w:rsid w:val="00F037DF"/>
    <w:rsid w:val="00F04043"/>
    <w:rsid w:val="00F04449"/>
    <w:rsid w:val="00F04EB8"/>
    <w:rsid w:val="00F06757"/>
    <w:rsid w:val="00F06BDC"/>
    <w:rsid w:val="00F1005D"/>
    <w:rsid w:val="00F1013A"/>
    <w:rsid w:val="00F11538"/>
    <w:rsid w:val="00F12C3C"/>
    <w:rsid w:val="00F157D7"/>
    <w:rsid w:val="00F16BD5"/>
    <w:rsid w:val="00F209FF"/>
    <w:rsid w:val="00F2144C"/>
    <w:rsid w:val="00F24C05"/>
    <w:rsid w:val="00F25E2E"/>
    <w:rsid w:val="00F25F96"/>
    <w:rsid w:val="00F268E0"/>
    <w:rsid w:val="00F27CFD"/>
    <w:rsid w:val="00F3069D"/>
    <w:rsid w:val="00F36557"/>
    <w:rsid w:val="00F36E4B"/>
    <w:rsid w:val="00F41603"/>
    <w:rsid w:val="00F42B70"/>
    <w:rsid w:val="00F441CC"/>
    <w:rsid w:val="00F478DE"/>
    <w:rsid w:val="00F478F8"/>
    <w:rsid w:val="00F50201"/>
    <w:rsid w:val="00F50498"/>
    <w:rsid w:val="00F51677"/>
    <w:rsid w:val="00F5343E"/>
    <w:rsid w:val="00F541A3"/>
    <w:rsid w:val="00F5537F"/>
    <w:rsid w:val="00F55FBB"/>
    <w:rsid w:val="00F579AB"/>
    <w:rsid w:val="00F60FDC"/>
    <w:rsid w:val="00F6265C"/>
    <w:rsid w:val="00F65D83"/>
    <w:rsid w:val="00F65FBB"/>
    <w:rsid w:val="00F66BB1"/>
    <w:rsid w:val="00F67914"/>
    <w:rsid w:val="00F730CE"/>
    <w:rsid w:val="00F73D87"/>
    <w:rsid w:val="00F74025"/>
    <w:rsid w:val="00F7529C"/>
    <w:rsid w:val="00F7768F"/>
    <w:rsid w:val="00F819D1"/>
    <w:rsid w:val="00F81E5B"/>
    <w:rsid w:val="00F901EA"/>
    <w:rsid w:val="00F901FF"/>
    <w:rsid w:val="00F90B43"/>
    <w:rsid w:val="00F934DB"/>
    <w:rsid w:val="00F936AE"/>
    <w:rsid w:val="00F93DCE"/>
    <w:rsid w:val="00F948C2"/>
    <w:rsid w:val="00F95D1D"/>
    <w:rsid w:val="00F974E9"/>
    <w:rsid w:val="00F97AA4"/>
    <w:rsid w:val="00FA2FEB"/>
    <w:rsid w:val="00FA4BE5"/>
    <w:rsid w:val="00FA630E"/>
    <w:rsid w:val="00FB1CBA"/>
    <w:rsid w:val="00FB60BB"/>
    <w:rsid w:val="00FC0FB4"/>
    <w:rsid w:val="00FC26DC"/>
    <w:rsid w:val="00FC4651"/>
    <w:rsid w:val="00FC67FD"/>
    <w:rsid w:val="00FC7360"/>
    <w:rsid w:val="00FC7C61"/>
    <w:rsid w:val="00FD2F2F"/>
    <w:rsid w:val="00FD372D"/>
    <w:rsid w:val="00FD37EA"/>
    <w:rsid w:val="00FD46A9"/>
    <w:rsid w:val="00FD5C07"/>
    <w:rsid w:val="00FD6FDA"/>
    <w:rsid w:val="00FD7AF7"/>
    <w:rsid w:val="00FE5039"/>
    <w:rsid w:val="00FE6C67"/>
    <w:rsid w:val="00FE76CB"/>
    <w:rsid w:val="00FF07F0"/>
    <w:rsid w:val="00FF16DB"/>
    <w:rsid w:val="00FF1801"/>
    <w:rsid w:val="00FF2C85"/>
    <w:rsid w:val="00FF2E4E"/>
    <w:rsid w:val="00FF37A9"/>
    <w:rsid w:val="00FF391B"/>
    <w:rsid w:val="00FF3E3A"/>
    <w:rsid w:val="00FF4BB6"/>
    <w:rsid w:val="00FF4D0C"/>
    <w:rsid w:val="00FF546E"/>
    <w:rsid w:val="00FF6410"/>
    <w:rsid w:val="00FF70C4"/>
    <w:rsid w:val="00FF749D"/>
    <w:rsid w:val="00FF7F9E"/>
    <w:rsid w:val="03B67382"/>
    <w:rsid w:val="06BD4087"/>
    <w:rsid w:val="0D513189"/>
    <w:rsid w:val="0D7A741E"/>
    <w:rsid w:val="1B926887"/>
    <w:rsid w:val="24FD5A13"/>
    <w:rsid w:val="2B177C2B"/>
    <w:rsid w:val="2DF84DB3"/>
    <w:rsid w:val="36EC3EAA"/>
    <w:rsid w:val="37C63C78"/>
    <w:rsid w:val="387E69AF"/>
    <w:rsid w:val="3A4908E7"/>
    <w:rsid w:val="3CC34CAB"/>
    <w:rsid w:val="42700C80"/>
    <w:rsid w:val="42B03096"/>
    <w:rsid w:val="4BCA292F"/>
    <w:rsid w:val="4FFE8D8C"/>
    <w:rsid w:val="50542809"/>
    <w:rsid w:val="522C01D5"/>
    <w:rsid w:val="54C57BD0"/>
    <w:rsid w:val="57E36B49"/>
    <w:rsid w:val="5C9F0B74"/>
    <w:rsid w:val="5D01047B"/>
    <w:rsid w:val="62BE1E7B"/>
    <w:rsid w:val="672815A3"/>
    <w:rsid w:val="6DAB4CE3"/>
    <w:rsid w:val="722F7D20"/>
    <w:rsid w:val="73FC68C9"/>
    <w:rsid w:val="75175D89"/>
    <w:rsid w:val="79A15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after="100" w:afterLines="100" w:line="360" w:lineRule="auto"/>
      <w:jc w:val="center"/>
      <w:outlineLvl w:val="0"/>
    </w:pPr>
    <w:rPr>
      <w:b/>
      <w:bCs/>
      <w:kern w:val="44"/>
      <w:sz w:val="36"/>
      <w:szCs w:val="44"/>
    </w:rPr>
  </w:style>
  <w:style w:type="paragraph" w:styleId="3">
    <w:name w:val="heading 3"/>
    <w:basedOn w:val="1"/>
    <w:next w:val="1"/>
    <w:link w:val="62"/>
    <w:semiHidden/>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List 3"/>
    <w:basedOn w:val="1"/>
    <w:qFormat/>
    <w:uiPriority w:val="0"/>
    <w:pPr>
      <w:ind w:left="1260" w:hanging="420"/>
    </w:pPr>
    <w:rPr>
      <w:szCs w:val="20"/>
    </w:rPr>
  </w:style>
  <w:style w:type="paragraph" w:styleId="5">
    <w:name w:val="annotation text"/>
    <w:basedOn w:val="1"/>
    <w:link w:val="58"/>
    <w:unhideWhenUsed/>
    <w:qFormat/>
    <w:uiPriority w:val="99"/>
    <w:pPr>
      <w:jc w:val="left"/>
    </w:pPr>
  </w:style>
  <w:style w:type="paragraph" w:styleId="6">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7">
    <w:name w:val="Date"/>
    <w:basedOn w:val="1"/>
    <w:next w:val="1"/>
    <w:link w:val="48"/>
    <w:unhideWhenUsed/>
    <w:qFormat/>
    <w:uiPriority w:val="99"/>
    <w:pPr>
      <w:ind w:left="100" w:leftChars="2500"/>
    </w:pPr>
  </w:style>
  <w:style w:type="paragraph" w:styleId="8">
    <w:name w:val="Balloon Text"/>
    <w:basedOn w:val="1"/>
    <w:qFormat/>
    <w:uiPriority w:val="0"/>
    <w:rPr>
      <w:sz w:val="18"/>
      <w:szCs w:val="18"/>
    </w:rPr>
  </w:style>
  <w:style w:type="paragraph" w:styleId="9">
    <w:name w:val="footer"/>
    <w:basedOn w:val="1"/>
    <w:link w:val="49"/>
    <w:qFormat/>
    <w:uiPriority w:val="99"/>
    <w:pPr>
      <w:tabs>
        <w:tab w:val="center" w:pos="4153"/>
        <w:tab w:val="right" w:pos="8306"/>
      </w:tabs>
      <w:snapToGrid w:val="0"/>
      <w:jc w:val="left"/>
    </w:pPr>
    <w:rPr>
      <w:sz w:val="18"/>
      <w:szCs w:val="18"/>
    </w:rPr>
  </w:style>
  <w:style w:type="paragraph" w:styleId="10">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annotation subject"/>
    <w:basedOn w:val="5"/>
    <w:next w:val="5"/>
    <w:link w:val="59"/>
    <w:unhideWhenUsed/>
    <w:qFormat/>
    <w:uiPriority w:val="99"/>
    <w:rPr>
      <w:b/>
      <w:bCs/>
    </w:rPr>
  </w:style>
  <w:style w:type="table" w:styleId="16">
    <w:name w:val="Table Grid"/>
    <w:basedOn w:val="15"/>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b/>
      <w:bCs/>
    </w:rPr>
  </w:style>
  <w:style w:type="character" w:styleId="19">
    <w:name w:val="page number"/>
    <w:basedOn w:val="17"/>
    <w:qFormat/>
    <w:uiPriority w:val="0"/>
  </w:style>
  <w:style w:type="character" w:styleId="20">
    <w:name w:val="Hyperlink"/>
    <w:qFormat/>
    <w:uiPriority w:val="99"/>
    <w:rPr>
      <w:color w:val="666666"/>
      <w:sz w:val="19"/>
      <w:szCs w:val="19"/>
      <w:u w:val="none"/>
    </w:rPr>
  </w:style>
  <w:style w:type="character" w:styleId="21">
    <w:name w:val="annotation reference"/>
    <w:basedOn w:val="17"/>
    <w:unhideWhenUsed/>
    <w:qFormat/>
    <w:uiPriority w:val="99"/>
    <w:rPr>
      <w:sz w:val="21"/>
      <w:szCs w:val="21"/>
    </w:rPr>
  </w:style>
  <w:style w:type="character" w:customStyle="1" w:styleId="22">
    <w:name w:val="式中 字符"/>
    <w:basedOn w:val="23"/>
    <w:link w:val="26"/>
    <w:qFormat/>
    <w:uiPriority w:val="0"/>
    <w:rPr>
      <w:kern w:val="2"/>
      <w:sz w:val="28"/>
      <w:szCs w:val="28"/>
    </w:rPr>
  </w:style>
  <w:style w:type="character" w:customStyle="1" w:styleId="23">
    <w:name w:val="正文1 Char"/>
    <w:link w:val="24"/>
    <w:qFormat/>
    <w:uiPriority w:val="0"/>
    <w:rPr>
      <w:kern w:val="2"/>
      <w:sz w:val="28"/>
      <w:szCs w:val="28"/>
    </w:rPr>
  </w:style>
  <w:style w:type="paragraph" w:customStyle="1" w:styleId="24">
    <w:name w:val="正文1"/>
    <w:basedOn w:val="25"/>
    <w:link w:val="23"/>
    <w:qFormat/>
    <w:uiPriority w:val="0"/>
    <w:pPr>
      <w:ind w:firstLine="0" w:firstLineChars="0"/>
    </w:pPr>
  </w:style>
  <w:style w:type="paragraph" w:customStyle="1" w:styleId="25">
    <w:name w:val="前言"/>
    <w:basedOn w:val="1"/>
    <w:link w:val="28"/>
    <w:qFormat/>
    <w:uiPriority w:val="0"/>
    <w:pPr>
      <w:spacing w:line="360" w:lineRule="auto"/>
      <w:ind w:firstLine="200" w:firstLineChars="200"/>
    </w:pPr>
    <w:rPr>
      <w:sz w:val="28"/>
      <w:szCs w:val="28"/>
    </w:rPr>
  </w:style>
  <w:style w:type="paragraph" w:customStyle="1" w:styleId="26">
    <w:name w:val="式中"/>
    <w:basedOn w:val="24"/>
    <w:link w:val="22"/>
    <w:qFormat/>
    <w:uiPriority w:val="0"/>
    <w:pPr>
      <w:ind w:left="1840" w:leftChars="399" w:hanging="1002" w:hangingChars="358"/>
    </w:pPr>
  </w:style>
  <w:style w:type="character" w:customStyle="1" w:styleId="27">
    <w:name w:val="英文目录 字符"/>
    <w:basedOn w:val="28"/>
    <w:link w:val="29"/>
    <w:qFormat/>
    <w:uiPriority w:val="0"/>
    <w:rPr>
      <w:kern w:val="2"/>
      <w:sz w:val="28"/>
      <w:szCs w:val="28"/>
    </w:rPr>
  </w:style>
  <w:style w:type="character" w:customStyle="1" w:styleId="28">
    <w:name w:val="前言 字符"/>
    <w:link w:val="25"/>
    <w:qFormat/>
    <w:uiPriority w:val="0"/>
    <w:rPr>
      <w:kern w:val="2"/>
      <w:sz w:val="28"/>
      <w:szCs w:val="28"/>
    </w:rPr>
  </w:style>
  <w:style w:type="paragraph" w:customStyle="1" w:styleId="29">
    <w:name w:val="英文目录"/>
    <w:basedOn w:val="25"/>
    <w:link w:val="27"/>
    <w:qFormat/>
    <w:uiPriority w:val="0"/>
    <w:pPr>
      <w:tabs>
        <w:tab w:val="left" w:pos="426"/>
        <w:tab w:val="right" w:leader="middleDot" w:pos="8222"/>
      </w:tabs>
      <w:spacing w:line="240" w:lineRule="auto"/>
      <w:ind w:firstLine="0" w:firstLineChars="0"/>
    </w:pPr>
  </w:style>
  <w:style w:type="character" w:customStyle="1" w:styleId="30">
    <w:name w:val="页眉 Char"/>
    <w:link w:val="10"/>
    <w:qFormat/>
    <w:uiPriority w:val="0"/>
    <w:rPr>
      <w:kern w:val="2"/>
      <w:sz w:val="18"/>
      <w:szCs w:val="18"/>
    </w:rPr>
  </w:style>
  <w:style w:type="character" w:customStyle="1" w:styleId="31">
    <w:name w:val="表格 字符"/>
    <w:link w:val="32"/>
    <w:qFormat/>
    <w:uiPriority w:val="0"/>
    <w:rPr>
      <w:kern w:val="2"/>
      <w:sz w:val="21"/>
      <w:szCs w:val="24"/>
    </w:rPr>
  </w:style>
  <w:style w:type="paragraph" w:customStyle="1" w:styleId="32">
    <w:name w:val="表格"/>
    <w:basedOn w:val="1"/>
    <w:link w:val="31"/>
    <w:qFormat/>
    <w:uiPriority w:val="0"/>
    <w:pPr>
      <w:jc w:val="center"/>
    </w:pPr>
  </w:style>
  <w:style w:type="character" w:customStyle="1" w:styleId="33">
    <w:name w:val="条文说明2 Char"/>
    <w:link w:val="34"/>
    <w:qFormat/>
    <w:uiPriority w:val="0"/>
    <w:rPr>
      <w:rFonts w:ascii="楷体" w:hAnsi="楷体" w:eastAsia="楷体" w:cs="楷体"/>
      <w:iCs/>
      <w:kern w:val="2"/>
      <w:sz w:val="24"/>
      <w:szCs w:val="24"/>
    </w:rPr>
  </w:style>
  <w:style w:type="paragraph" w:customStyle="1" w:styleId="34">
    <w:name w:val="条文说明2"/>
    <w:basedOn w:val="35"/>
    <w:link w:val="33"/>
    <w:qFormat/>
    <w:uiPriority w:val="0"/>
    <w:pPr>
      <w:ind w:firstLine="480" w:firstLineChars="200"/>
    </w:pPr>
    <w:rPr>
      <w:rFonts w:ascii="楷体" w:hAnsi="楷体" w:eastAsia="楷体" w:cs="楷体"/>
      <w:i w:val="0"/>
      <w:iCs/>
      <w:szCs w:val="24"/>
      <w:u w:val="none"/>
      <w:shd w:val="clear" w:color="auto" w:fill="FFFFFF"/>
    </w:rPr>
  </w:style>
  <w:style w:type="paragraph" w:customStyle="1" w:styleId="35">
    <w:name w:val="条文说明"/>
    <w:basedOn w:val="24"/>
    <w:link w:val="41"/>
    <w:qFormat/>
    <w:uiPriority w:val="0"/>
    <w:rPr>
      <w:i/>
      <w:sz w:val="24"/>
      <w:u w:val="single"/>
    </w:rPr>
  </w:style>
  <w:style w:type="character" w:customStyle="1" w:styleId="36">
    <w:name w:val="标题 1 Char"/>
    <w:link w:val="2"/>
    <w:qFormat/>
    <w:uiPriority w:val="0"/>
    <w:rPr>
      <w:b/>
      <w:bCs/>
      <w:kern w:val="44"/>
      <w:sz w:val="36"/>
      <w:szCs w:val="44"/>
    </w:rPr>
  </w:style>
  <w:style w:type="character" w:customStyle="1" w:styleId="37">
    <w:name w:val="式中1 Char"/>
    <w:basedOn w:val="22"/>
    <w:link w:val="38"/>
    <w:qFormat/>
    <w:uiPriority w:val="0"/>
    <w:rPr>
      <w:kern w:val="2"/>
      <w:sz w:val="28"/>
      <w:szCs w:val="28"/>
    </w:rPr>
  </w:style>
  <w:style w:type="paragraph" w:customStyle="1" w:styleId="38">
    <w:name w:val="式中1"/>
    <w:basedOn w:val="26"/>
    <w:link w:val="37"/>
    <w:qFormat/>
    <w:uiPriority w:val="0"/>
    <w:pPr>
      <w:ind w:left="1848" w:leftChars="0" w:hanging="1848" w:hangingChars="660"/>
    </w:pPr>
  </w:style>
  <w:style w:type="character" w:customStyle="1" w:styleId="39">
    <w:name w:val="公式 字符"/>
    <w:link w:val="40"/>
    <w:qFormat/>
    <w:uiPriority w:val="0"/>
    <w:rPr>
      <w:kern w:val="2"/>
      <w:sz w:val="28"/>
      <w:szCs w:val="24"/>
    </w:rPr>
  </w:style>
  <w:style w:type="paragraph" w:customStyle="1" w:styleId="40">
    <w:name w:val="公式"/>
    <w:basedOn w:val="1"/>
    <w:link w:val="39"/>
    <w:qFormat/>
    <w:uiPriority w:val="0"/>
    <w:pPr>
      <w:tabs>
        <w:tab w:val="center" w:pos="4540"/>
        <w:tab w:val="right" w:pos="9080"/>
      </w:tabs>
      <w:spacing w:line="360" w:lineRule="auto"/>
    </w:pPr>
    <w:rPr>
      <w:sz w:val="28"/>
    </w:rPr>
  </w:style>
  <w:style w:type="character" w:customStyle="1" w:styleId="41">
    <w:name w:val="条文说明 Char"/>
    <w:link w:val="35"/>
    <w:qFormat/>
    <w:uiPriority w:val="0"/>
    <w:rPr>
      <w:i/>
      <w:kern w:val="2"/>
      <w:sz w:val="24"/>
      <w:szCs w:val="28"/>
      <w:u w:val="single"/>
    </w:rPr>
  </w:style>
  <w:style w:type="character" w:customStyle="1" w:styleId="42">
    <w:name w:val="MTDisplayEquation 字符"/>
    <w:basedOn w:val="23"/>
    <w:link w:val="43"/>
    <w:qFormat/>
    <w:uiPriority w:val="0"/>
    <w:rPr>
      <w:kern w:val="2"/>
      <w:sz w:val="28"/>
      <w:szCs w:val="28"/>
    </w:rPr>
  </w:style>
  <w:style w:type="paragraph" w:customStyle="1" w:styleId="43">
    <w:name w:val="MTDisplayEquation"/>
    <w:basedOn w:val="24"/>
    <w:next w:val="1"/>
    <w:link w:val="42"/>
    <w:qFormat/>
    <w:uiPriority w:val="0"/>
    <w:pPr>
      <w:tabs>
        <w:tab w:val="center" w:pos="4160"/>
        <w:tab w:val="right" w:pos="8300"/>
      </w:tabs>
    </w:pPr>
  </w:style>
  <w:style w:type="character" w:customStyle="1" w:styleId="44">
    <w:name w:val="标题2 字符"/>
    <w:link w:val="45"/>
    <w:qFormat/>
    <w:uiPriority w:val="0"/>
    <w:rPr>
      <w:b/>
      <w:bCs/>
      <w:kern w:val="44"/>
      <w:sz w:val="28"/>
      <w:szCs w:val="44"/>
    </w:rPr>
  </w:style>
  <w:style w:type="paragraph" w:customStyle="1" w:styleId="45">
    <w:name w:val="标题2"/>
    <w:basedOn w:val="2"/>
    <w:link w:val="44"/>
    <w:qFormat/>
    <w:uiPriority w:val="0"/>
    <w:pPr>
      <w:spacing w:before="50" w:beforeLines="50" w:after="50" w:afterLines="50"/>
      <w:outlineLvl w:val="1"/>
    </w:pPr>
    <w:rPr>
      <w:sz w:val="28"/>
    </w:rPr>
  </w:style>
  <w:style w:type="character" w:customStyle="1" w:styleId="46">
    <w:name w:val="正文2 Char"/>
    <w:basedOn w:val="23"/>
    <w:link w:val="47"/>
    <w:qFormat/>
    <w:uiPriority w:val="0"/>
    <w:rPr>
      <w:kern w:val="2"/>
      <w:sz w:val="28"/>
      <w:szCs w:val="28"/>
    </w:rPr>
  </w:style>
  <w:style w:type="paragraph" w:customStyle="1" w:styleId="47">
    <w:name w:val="正文2"/>
    <w:basedOn w:val="1"/>
    <w:link w:val="46"/>
    <w:qFormat/>
    <w:uiPriority w:val="0"/>
    <w:pPr>
      <w:spacing w:line="360" w:lineRule="auto"/>
      <w:ind w:firstLine="200" w:firstLineChars="200"/>
    </w:pPr>
    <w:rPr>
      <w:sz w:val="28"/>
      <w:szCs w:val="28"/>
    </w:rPr>
  </w:style>
  <w:style w:type="character" w:customStyle="1" w:styleId="48">
    <w:name w:val="日期 Char"/>
    <w:link w:val="7"/>
    <w:semiHidden/>
    <w:qFormat/>
    <w:uiPriority w:val="99"/>
    <w:rPr>
      <w:kern w:val="2"/>
      <w:sz w:val="21"/>
      <w:szCs w:val="24"/>
    </w:rPr>
  </w:style>
  <w:style w:type="character" w:customStyle="1" w:styleId="49">
    <w:name w:val="页脚 Char"/>
    <w:link w:val="9"/>
    <w:qFormat/>
    <w:uiPriority w:val="99"/>
    <w:rPr>
      <w:kern w:val="2"/>
      <w:sz w:val="18"/>
      <w:szCs w:val="18"/>
    </w:rPr>
  </w:style>
  <w:style w:type="paragraph" w:customStyle="1" w:styleId="50">
    <w:name w:val="说明"/>
    <w:basedOn w:val="1"/>
    <w:qFormat/>
    <w:uiPriority w:val="0"/>
    <w:pPr>
      <w:spacing w:line="400" w:lineRule="atLeast"/>
    </w:pPr>
    <w:rPr>
      <w:rFonts w:ascii="楷体_GB2312" w:eastAsia="楷体_GB2312"/>
      <w:sz w:val="24"/>
    </w:rPr>
  </w:style>
  <w:style w:type="paragraph" w:customStyle="1" w:styleId="51">
    <w:name w:val="列出段落1"/>
    <w:basedOn w:val="1"/>
    <w:qFormat/>
    <w:uiPriority w:val="0"/>
    <w:pPr>
      <w:ind w:firstLine="420" w:firstLineChars="200"/>
    </w:pPr>
  </w:style>
  <w:style w:type="paragraph" w:customStyle="1" w:styleId="52">
    <w:name w:val="Char Char Char Char Char Char Char"/>
    <w:basedOn w:val="1"/>
    <w:qFormat/>
    <w:uiPriority w:val="0"/>
    <w:pPr>
      <w:widowControl/>
      <w:spacing w:after="160" w:line="240" w:lineRule="exact"/>
      <w:jc w:val="left"/>
    </w:pPr>
  </w:style>
  <w:style w:type="paragraph" w:customStyle="1" w:styleId="53">
    <w:name w:val="列出段落2"/>
    <w:basedOn w:val="1"/>
    <w:qFormat/>
    <w:uiPriority w:val="34"/>
    <w:pPr>
      <w:ind w:firstLine="420" w:firstLineChars="200"/>
    </w:pPr>
  </w:style>
  <w:style w:type="paragraph" w:customStyle="1" w:styleId="54">
    <w:name w:val="aguo各章标题"/>
    <w:basedOn w:val="2"/>
    <w:qFormat/>
    <w:uiPriority w:val="0"/>
    <w:pPr>
      <w:spacing w:before="240" w:after="240" w:afterLines="0"/>
    </w:pPr>
    <w:rPr>
      <w:rFonts w:ascii="黑体" w:hAnsi="黑体" w:eastAsia="黑体"/>
      <w:b w:val="0"/>
      <w:szCs w:val="36"/>
    </w:rPr>
  </w:style>
  <w:style w:type="paragraph" w:customStyle="1" w:styleId="55">
    <w:name w:val="_Style 16"/>
    <w:basedOn w:val="1"/>
    <w:next w:val="53"/>
    <w:qFormat/>
    <w:uiPriority w:val="34"/>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56">
    <w:name w:val="待讨论内容"/>
    <w:basedOn w:val="1"/>
    <w:link w:val="57"/>
    <w:qFormat/>
    <w:uiPriority w:val="0"/>
    <w:pPr>
      <w:tabs>
        <w:tab w:val="left" w:pos="993"/>
      </w:tabs>
      <w:jc w:val="center"/>
    </w:pPr>
    <w:rPr>
      <w:i/>
    </w:rPr>
  </w:style>
  <w:style w:type="character" w:customStyle="1" w:styleId="57">
    <w:name w:val="待讨论内容 字符"/>
    <w:basedOn w:val="17"/>
    <w:link w:val="56"/>
    <w:qFormat/>
    <w:uiPriority w:val="0"/>
    <w:rPr>
      <w:i/>
      <w:kern w:val="2"/>
      <w:sz w:val="21"/>
      <w:szCs w:val="24"/>
    </w:rPr>
  </w:style>
  <w:style w:type="character" w:customStyle="1" w:styleId="58">
    <w:name w:val="批注文字 Char"/>
    <w:basedOn w:val="17"/>
    <w:link w:val="5"/>
    <w:qFormat/>
    <w:uiPriority w:val="99"/>
    <w:rPr>
      <w:kern w:val="2"/>
      <w:sz w:val="21"/>
      <w:szCs w:val="24"/>
    </w:rPr>
  </w:style>
  <w:style w:type="character" w:customStyle="1" w:styleId="59">
    <w:name w:val="批注主题 Char"/>
    <w:basedOn w:val="58"/>
    <w:link w:val="14"/>
    <w:semiHidden/>
    <w:qFormat/>
    <w:uiPriority w:val="99"/>
    <w:rPr>
      <w:b/>
      <w:bCs/>
      <w:kern w:val="2"/>
      <w:sz w:val="21"/>
      <w:szCs w:val="24"/>
    </w:rPr>
  </w:style>
  <w:style w:type="character" w:customStyle="1" w:styleId="60">
    <w:name w:val="fontstyle01"/>
    <w:basedOn w:val="17"/>
    <w:qFormat/>
    <w:uiPriority w:val="0"/>
    <w:rPr>
      <w:rFonts w:hint="eastAsia" w:ascii="宋体" w:hAnsi="宋体" w:eastAsia="宋体"/>
      <w:color w:val="000000"/>
      <w:sz w:val="22"/>
      <w:szCs w:val="22"/>
    </w:rPr>
  </w:style>
  <w:style w:type="paragraph" w:styleId="61">
    <w:name w:val="List Paragraph"/>
    <w:basedOn w:val="1"/>
    <w:qFormat/>
    <w:uiPriority w:val="34"/>
    <w:pPr>
      <w:ind w:firstLine="420" w:firstLineChars="200"/>
    </w:pPr>
  </w:style>
  <w:style w:type="character" w:customStyle="1" w:styleId="62">
    <w:name w:val="标题 3 Char"/>
    <w:basedOn w:val="17"/>
    <w:link w:val="3"/>
    <w:semiHidden/>
    <w:qFormat/>
    <w:uiPriority w:val="9"/>
    <w:rPr>
      <w:b/>
      <w:bCs/>
      <w:kern w:val="2"/>
      <w:sz w:val="32"/>
      <w:szCs w:val="32"/>
    </w:rPr>
  </w:style>
  <w:style w:type="paragraph" w:customStyle="1" w:styleId="63">
    <w:name w:val="TOC 标题1"/>
    <w:basedOn w:val="2"/>
    <w:next w:val="1"/>
    <w:unhideWhenUsed/>
    <w:qFormat/>
    <w:uiPriority w:val="39"/>
    <w:pPr>
      <w:widowControl/>
      <w:spacing w:before="240" w:after="0" w:afterLines="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11.wmf"/><Relationship Id="rId33" Type="http://schemas.openxmlformats.org/officeDocument/2006/relationships/oleObject" Target="embeddings/oleObject11.bin"/><Relationship Id="rId32" Type="http://schemas.openxmlformats.org/officeDocument/2006/relationships/image" Target="media/image10.wmf"/><Relationship Id="rId31" Type="http://schemas.openxmlformats.org/officeDocument/2006/relationships/oleObject" Target="embeddings/oleObject10.bin"/><Relationship Id="rId30" Type="http://schemas.openxmlformats.org/officeDocument/2006/relationships/image" Target="media/image9.wmf"/><Relationship Id="rId3" Type="http://schemas.openxmlformats.org/officeDocument/2006/relationships/footer" Target="footer1.xml"/><Relationship Id="rId29" Type="http://schemas.openxmlformats.org/officeDocument/2006/relationships/oleObject" Target="embeddings/oleObject9.bin"/><Relationship Id="rId28" Type="http://schemas.openxmlformats.org/officeDocument/2006/relationships/image" Target="media/image8.wmf"/><Relationship Id="rId27" Type="http://schemas.openxmlformats.org/officeDocument/2006/relationships/oleObject" Target="embeddings/oleObject8.bin"/><Relationship Id="rId26" Type="http://schemas.openxmlformats.org/officeDocument/2006/relationships/image" Target="media/image7.wmf"/><Relationship Id="rId25" Type="http://schemas.openxmlformats.org/officeDocument/2006/relationships/oleObject" Target="embeddings/oleObject7.bin"/><Relationship Id="rId24" Type="http://schemas.openxmlformats.org/officeDocument/2006/relationships/image" Target="media/image6.wmf"/><Relationship Id="rId23" Type="http://schemas.openxmlformats.org/officeDocument/2006/relationships/oleObject" Target="embeddings/oleObject6.bin"/><Relationship Id="rId22" Type="http://schemas.openxmlformats.org/officeDocument/2006/relationships/image" Target="media/image5.wmf"/><Relationship Id="rId21" Type="http://schemas.openxmlformats.org/officeDocument/2006/relationships/oleObject" Target="embeddings/oleObject5.bin"/><Relationship Id="rId20" Type="http://schemas.openxmlformats.org/officeDocument/2006/relationships/image" Target="media/image4.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3.wmf"/><Relationship Id="rId17" Type="http://schemas.openxmlformats.org/officeDocument/2006/relationships/oleObject" Target="embeddings/oleObject3.bin"/><Relationship Id="rId16" Type="http://schemas.openxmlformats.org/officeDocument/2006/relationships/image" Target="media/image2.wmf"/><Relationship Id="rId15" Type="http://schemas.openxmlformats.org/officeDocument/2006/relationships/oleObject" Target="embeddings/oleObject2.bin"/><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43</Pages>
  <Words>2913</Words>
  <Characters>16605</Characters>
  <Lines>138</Lines>
  <Paragraphs>38</Paragraphs>
  <TotalTime>2</TotalTime>
  <ScaleCrop>false</ScaleCrop>
  <LinksUpToDate>false</LinksUpToDate>
  <CharactersWithSpaces>19480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2023-05-31T11:33:00Z</dcterms:created>
  <dc:creator>微软用户</dc:creator>
  <cp:lastModifiedBy>市住建局</cp:lastModifiedBy>
  <cp:lastPrinted>2023-05-08T09:39:00Z</cp:lastPrinted>
  <dcterms:modified xsi:type="dcterms:W3CDTF">2024-01-29T14:44:25Z</dcterms:modified>
  <dc:title>广东省工程建设地方标准化工作细则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MTWinEqns">
    <vt:bool>true</vt:bool>
  </property>
  <property fmtid="{D5CDD505-2E9C-101B-9397-08002B2CF9AE}" pid="4" name="MTEquationNumber2">
    <vt:lpwstr>(#S1.#E1)</vt:lpwstr>
  </property>
  <property fmtid="{D5CDD505-2E9C-101B-9397-08002B2CF9AE}" pid="5" name="ribbonExt">
    <vt:lpwstr>{"WPSExtOfficeTab":{"OnGetEnabled":false,"OnGetVisible":false}}</vt:lpwstr>
  </property>
  <property fmtid="{D5CDD505-2E9C-101B-9397-08002B2CF9AE}" pid="6" name="ICV">
    <vt:lpwstr>292B0F8BC67440F68B42BC3DBD3CFC43_12</vt:lpwstr>
  </property>
</Properties>
</file>